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cs="Arial"/>
          <w:b/>
          <w:b/>
          <w:bCs/>
          <w:i/>
          <w:i/>
          <w:iCs/>
          <w:color w:val="000000"/>
          <w:szCs w:val="20"/>
        </w:rPr>
      </w:pPr>
      <w:r>
        <w:rPr>
          <w:rFonts w:cs="Arial"/>
          <w:b/>
          <w:bCs/>
          <w:i/>
          <w:iCs/>
          <w:color w:val="000000"/>
          <w:szCs w:val="20"/>
        </w:rPr>
      </w:r>
    </w:p>
    <w:p>
      <w:pPr>
        <w:pStyle w:val="Normal"/>
        <w:spacing w:lineRule="auto" w:line="276"/>
        <w:jc w:val="center"/>
        <w:rPr>
          <w:rFonts w:cs="Arial"/>
          <w:b/>
          <w:b/>
          <w:bCs/>
          <w:i/>
          <w:i/>
          <w:iCs/>
          <w:color w:val="000000"/>
          <w:szCs w:val="20"/>
        </w:rPr>
      </w:pPr>
      <w:r>
        <w:rPr>
          <w:rFonts w:cs="Arial"/>
          <w:b/>
          <w:bCs/>
          <w:i/>
          <w:iCs/>
          <w:color w:val="000000"/>
          <w:szCs w:val="20"/>
        </w:rPr>
        <w:drawing>
          <wp:anchor behindDoc="0" distT="0" distB="0" distL="0" distR="0" simplePos="0" locked="0" layoutInCell="0" allowOverlap="1" relativeHeight="2">
            <wp:simplePos x="0" y="0"/>
            <wp:positionH relativeFrom="margin">
              <wp:align>center</wp:align>
            </wp:positionH>
            <wp:positionV relativeFrom="paragraph">
              <wp:posOffset>635</wp:posOffset>
            </wp:positionV>
            <wp:extent cx="900430" cy="889000"/>
            <wp:effectExtent l="0" t="0" r="0" b="0"/>
            <wp:wrapNone/>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2"/>
                    <a:srcRect l="-80" t="-81" r="-80" b="-81"/>
                    <a:stretch>
                      <a:fillRect/>
                    </a:stretch>
                  </pic:blipFill>
                  <pic:spPr bwMode="auto">
                    <a:xfrm>
                      <a:off x="0" y="0"/>
                      <a:ext cx="900430" cy="889000"/>
                    </a:xfrm>
                    <a:prstGeom prst="rect">
                      <a:avLst/>
                    </a:prstGeom>
                  </pic:spPr>
                </pic:pic>
              </a:graphicData>
            </a:graphic>
          </wp:anchor>
        </w:drawing>
      </w:r>
    </w:p>
    <w:p>
      <w:pPr>
        <w:pStyle w:val="Normal"/>
        <w:spacing w:lineRule="auto" w:line="276"/>
        <w:jc w:val="center"/>
        <w:rPr>
          <w:rFonts w:cs="Arial"/>
          <w:b/>
          <w:b/>
          <w:bCs/>
          <w:i/>
          <w:i/>
          <w:iCs/>
          <w:color w:val="000000"/>
          <w:szCs w:val="20"/>
        </w:rPr>
      </w:pPr>
      <w:r>
        <w:rPr>
          <w:rFonts w:cs="Arial"/>
          <w:b/>
          <w:bCs/>
          <w:i/>
          <w:iCs/>
          <w:color w:val="000000"/>
          <w:szCs w:val="20"/>
        </w:rPr>
      </w:r>
    </w:p>
    <w:p>
      <w:pPr>
        <w:pStyle w:val="Normal"/>
        <w:spacing w:lineRule="auto" w:line="276"/>
        <w:jc w:val="center"/>
        <w:rPr>
          <w:rFonts w:cs="Arial"/>
          <w:b/>
          <w:b/>
          <w:bCs/>
          <w:i/>
          <w:i/>
          <w:iCs/>
          <w:color w:val="000000"/>
          <w:szCs w:val="20"/>
        </w:rPr>
      </w:pPr>
      <w:r>
        <w:rPr>
          <w:rFonts w:cs="Arial"/>
          <w:b/>
          <w:bCs/>
          <w:i/>
          <w:iCs/>
          <w:color w:val="000000"/>
          <w:szCs w:val="20"/>
        </w:rPr>
      </w:r>
    </w:p>
    <w:p>
      <w:pPr>
        <w:pStyle w:val="Normal"/>
        <w:spacing w:lineRule="auto" w:line="276"/>
        <w:jc w:val="center"/>
        <w:rPr>
          <w:rFonts w:cs="Arial"/>
          <w:b/>
          <w:b/>
          <w:bCs/>
          <w:i/>
          <w:i/>
          <w:iCs/>
          <w:color w:val="000000"/>
          <w:szCs w:val="20"/>
        </w:rPr>
      </w:pPr>
      <w:r>
        <w:rPr>
          <w:rFonts w:cs="Arial"/>
          <w:b/>
          <w:bCs/>
          <w:i/>
          <w:iCs/>
          <w:color w:val="000000"/>
          <w:szCs w:val="20"/>
        </w:rPr>
      </w:r>
    </w:p>
    <w:p>
      <w:pPr>
        <w:pStyle w:val="Normal"/>
        <w:spacing w:lineRule="auto" w:line="276"/>
        <w:jc w:val="center"/>
        <w:rPr>
          <w:rFonts w:cs="Arial"/>
          <w:b/>
          <w:b/>
          <w:bCs/>
          <w:i/>
          <w:i/>
          <w:iCs/>
          <w:color w:val="000000"/>
          <w:szCs w:val="20"/>
        </w:rPr>
      </w:pPr>
      <w:r>
        <w:rPr>
          <w:rFonts w:cs="Arial"/>
          <w:b/>
          <w:bCs/>
          <w:i/>
          <w:iCs/>
          <w:color w:val="000000"/>
          <w:szCs w:val="20"/>
        </w:rPr>
      </w:r>
    </w:p>
    <w:p>
      <w:pPr>
        <w:pStyle w:val="Normal"/>
        <w:spacing w:lineRule="auto" w:line="276"/>
        <w:jc w:val="center"/>
        <w:rPr>
          <w:rFonts w:cs="Arial"/>
          <w:b/>
          <w:b/>
          <w:bCs/>
          <w:i/>
          <w:i/>
          <w:iCs/>
          <w:color w:val="000000"/>
          <w:szCs w:val="20"/>
        </w:rPr>
      </w:pPr>
      <w:r>
        <w:rPr>
          <w:rFonts w:cs="Arial"/>
          <w:b/>
          <w:bCs/>
          <w:i/>
          <w:iCs/>
          <w:color w:val="000000"/>
          <w:szCs w:val="20"/>
        </w:rPr>
      </w:r>
    </w:p>
    <w:p>
      <w:pPr>
        <w:pStyle w:val="Normal"/>
        <w:ind w:right="-30" w:hanging="0"/>
        <w:jc w:val="center"/>
        <w:rPr>
          <w:rFonts w:ascii="Times New Roman" w:hAnsi="Times New Roman" w:cs="Times New Roman"/>
          <w:b/>
          <w:b/>
          <w:sz w:val="22"/>
          <w:szCs w:val="22"/>
          <w:lang w:eastAsia="en-US"/>
        </w:rPr>
      </w:pPr>
      <w:r>
        <w:rPr>
          <w:rFonts w:cs="Times New Roman" w:ascii="Times New Roman" w:hAnsi="Times New Roman"/>
          <w:b/>
          <w:color w:val="000000"/>
          <w:sz w:val="22"/>
          <w:szCs w:val="22"/>
          <w:lang w:eastAsia="en-US"/>
        </w:rPr>
        <w:t>MINISTÉRIO DA DEFESA</w:t>
      </w:r>
    </w:p>
    <w:p>
      <w:pPr>
        <w:pStyle w:val="Normal"/>
        <w:ind w:right="-30" w:hanging="0"/>
        <w:jc w:val="center"/>
        <w:rPr>
          <w:rFonts w:ascii="Times New Roman" w:hAnsi="Times New Roman" w:cs="Times New Roman"/>
          <w:b/>
          <w:b/>
          <w:sz w:val="22"/>
          <w:szCs w:val="22"/>
          <w:lang w:eastAsia="en-US"/>
        </w:rPr>
      </w:pPr>
      <w:r>
        <w:rPr>
          <w:rFonts w:cs="Times New Roman" w:ascii="Times New Roman" w:hAnsi="Times New Roman"/>
          <w:b/>
          <w:color w:val="000000"/>
          <w:sz w:val="22"/>
          <w:szCs w:val="22"/>
          <w:lang w:eastAsia="en-US"/>
        </w:rPr>
        <w:t>EXÉRCITO BRASILEIRO</w:t>
      </w:r>
    </w:p>
    <w:p>
      <w:pPr>
        <w:pStyle w:val="Normal"/>
        <w:ind w:right="-30" w:hanging="0"/>
        <w:jc w:val="center"/>
        <w:rPr>
          <w:rFonts w:ascii="Times New Roman" w:hAnsi="Times New Roman" w:cs="Times New Roman"/>
          <w:b/>
          <w:b/>
          <w:sz w:val="22"/>
          <w:szCs w:val="22"/>
          <w:lang w:eastAsia="en-US"/>
        </w:rPr>
      </w:pPr>
      <w:r>
        <w:rPr>
          <w:rFonts w:cs="Times New Roman" w:ascii="Times New Roman" w:hAnsi="Times New Roman"/>
          <w:b/>
          <w:color w:val="000000"/>
          <w:sz w:val="22"/>
          <w:szCs w:val="22"/>
          <w:lang w:eastAsia="en-US"/>
        </w:rPr>
        <w:t>4º BATALHÃO DE AVIAÇÃO DO EXÉRCITO</w:t>
      </w:r>
    </w:p>
    <w:p>
      <w:pPr>
        <w:pStyle w:val="Normal"/>
        <w:ind w:right="-30" w:hanging="0"/>
        <w:jc w:val="center"/>
        <w:rPr>
          <w:color w:val="000000"/>
        </w:rPr>
      </w:pPr>
      <w:r>
        <w:rPr>
          <w:rFonts w:cs="Times New Roman" w:ascii="Times New Roman" w:hAnsi="Times New Roman"/>
          <w:b/>
          <w:color w:val="000000"/>
          <w:sz w:val="22"/>
          <w:szCs w:val="22"/>
          <w:lang w:eastAsia="en-US"/>
        </w:rPr>
        <w:t>(</w:t>
      </w:r>
      <w:r>
        <w:rPr>
          <w:rFonts w:cs="Times New Roman" w:ascii="Times New Roman" w:hAnsi="Times New Roman"/>
          <w:b/>
          <w:i/>
          <w:iCs/>
          <w:color w:val="000000"/>
          <w:sz w:val="22"/>
          <w:szCs w:val="22"/>
          <w:lang w:eastAsia="en-US"/>
        </w:rPr>
        <w:t>ESQUADRÃO CORONEL RICARDO PAVANELLO</w:t>
      </w:r>
      <w:r>
        <w:rPr>
          <w:rFonts w:cs="Times New Roman" w:ascii="Times New Roman" w:hAnsi="Times New Roman"/>
          <w:b/>
          <w:color w:val="000000"/>
          <w:sz w:val="22"/>
          <w:szCs w:val="22"/>
          <w:lang w:eastAsia="en-US"/>
        </w:rPr>
        <w:t>)</w:t>
      </w:r>
    </w:p>
    <w:p>
      <w:pPr>
        <w:pStyle w:val="Normal"/>
        <w:spacing w:lineRule="auto" w:line="276"/>
        <w:jc w:val="center"/>
        <w:rPr>
          <w:color w:val="000000"/>
        </w:rPr>
      </w:pPr>
      <w:r>
        <w:rPr>
          <w:rFonts w:cs="Arial"/>
          <w:b/>
          <w:bCs/>
          <w:color w:val="000000"/>
          <w:szCs w:val="20"/>
        </w:rPr>
        <w:t>AVISO DE DISPENSA ELETRÔNICA Nº 74/2023</w:t>
      </w:r>
    </w:p>
    <w:p>
      <w:pPr>
        <w:pStyle w:val="Normal"/>
        <w:spacing w:lineRule="auto" w:line="276" w:before="0" w:after="120"/>
        <w:ind w:right="-15" w:hanging="0"/>
        <w:jc w:val="center"/>
        <w:rPr>
          <w:color w:val="000000"/>
        </w:rPr>
      </w:pPr>
      <w:r>
        <w:rPr>
          <w:rFonts w:cs="Arial"/>
          <w:b/>
          <w:bCs/>
          <w:color w:val="000000"/>
          <w:szCs w:val="20"/>
        </w:rPr>
        <w:t xml:space="preserve">(Processo Administrativo n° </w:t>
      </w:r>
      <w:bookmarkStart w:id="0" w:name="__DdeLink__689_2907344279"/>
      <w:r>
        <w:rPr>
          <w:b/>
          <w:color w:val="000000"/>
          <w:w w:val="105"/>
          <w:position w:val="1"/>
        </w:rPr>
        <w:t>64020.000442/2023-</w:t>
      </w:r>
      <w:bookmarkEnd w:id="0"/>
      <w:r>
        <w:rPr>
          <w:b/>
          <w:color w:val="000000"/>
          <w:w w:val="105"/>
          <w:position w:val="1"/>
        </w:rPr>
        <w:t>03</w:t>
      </w:r>
      <w:r>
        <w:rPr>
          <w:rFonts w:cs="Arial"/>
          <w:b/>
          <w:bCs/>
          <w:color w:val="000000"/>
          <w:szCs w:val="20"/>
        </w:rPr>
        <w:t>)</w:t>
      </w:r>
    </w:p>
    <w:p>
      <w:pPr>
        <w:pStyle w:val="Normal"/>
        <w:rPr>
          <w:rFonts w:cs="Arial"/>
          <w:color w:val="000000"/>
        </w:rPr>
      </w:pPr>
      <w:r>
        <w:rPr>
          <w:rFonts w:cs="Arial"/>
          <w:color w:val="000000"/>
        </w:rPr>
      </w:r>
    </w:p>
    <w:p>
      <w:pPr>
        <w:pStyle w:val="Normal"/>
        <w:snapToGrid w:val="false"/>
        <w:spacing w:lineRule="auto" w:line="276" w:before="0" w:after="120"/>
        <w:ind w:right="-30" w:firstLine="540"/>
        <w:jc w:val="both"/>
        <w:rPr>
          <w:color w:val="000000"/>
        </w:rPr>
      </w:pPr>
      <w:r>
        <w:rPr>
          <w:rFonts w:cs="Arial"/>
          <w:color w:val="000000"/>
          <w:szCs w:val="20"/>
        </w:rPr>
        <w:t xml:space="preserve">Torna-se público que o (a) </w:t>
      </w:r>
      <w:r>
        <w:rPr>
          <w:rFonts w:eastAsia="Arial" w:cs="Arial"/>
          <w:color w:val="000000"/>
          <w:szCs w:val="20"/>
        </w:rPr>
        <w:t>4° BATALHÃO DE AVIAÇÃO DO EXÉRCITO - 4° BAvEx</w:t>
      </w:r>
      <w:r>
        <w:rPr>
          <w:rFonts w:cs="Arial"/>
          <w:color w:val="000000"/>
          <w:szCs w:val="20"/>
        </w:rPr>
        <w:t xml:space="preserve">, por meio do(a) </w:t>
      </w:r>
      <w:r>
        <w:rPr>
          <w:rFonts w:eastAsia="Arial" w:cs="Arial"/>
          <w:color w:val="000000"/>
          <w:szCs w:val="20"/>
        </w:rPr>
        <w:t>Seção de Aquisições, Licitações e Contratos</w:t>
      </w:r>
      <w:r>
        <w:rPr>
          <w:rFonts w:cs="Arial"/>
          <w:color w:val="000000"/>
          <w:szCs w:val="20"/>
        </w:rPr>
        <w:t xml:space="preserve">, realizará Dispensa Eletrônica, </w:t>
      </w:r>
      <w:r>
        <w:rPr>
          <w:rFonts w:cs="Arial"/>
          <w:bCs/>
          <w:color w:val="000000"/>
          <w:szCs w:val="20"/>
        </w:rPr>
        <w:t xml:space="preserve">com critério de julgamento </w:t>
      </w:r>
      <w:r>
        <w:rPr>
          <w:rFonts w:cs="Arial"/>
          <w:b/>
          <w:color w:val="000000"/>
          <w:szCs w:val="20"/>
        </w:rPr>
        <w:t>menor preço</w:t>
      </w:r>
      <w:r>
        <w:rPr>
          <w:rFonts w:cs="Arial"/>
          <w:b/>
          <w:bCs/>
          <w:color w:val="000000"/>
          <w:szCs w:val="20"/>
        </w:rPr>
        <w:t xml:space="preserve">, </w:t>
      </w:r>
      <w:r>
        <w:rPr>
          <w:rFonts w:cs="Arial"/>
          <w:color w:val="000000"/>
          <w:szCs w:val="20"/>
        </w:rPr>
        <w:t>na hipótese do art. 75</w:t>
      </w:r>
      <w:r>
        <w:rPr>
          <w:rFonts w:cs="Arial"/>
          <w:i/>
          <w:iCs/>
          <w:color w:val="000000"/>
          <w:szCs w:val="20"/>
        </w:rPr>
        <w:t xml:space="preserve">, </w:t>
      </w:r>
      <w:r>
        <w:rPr>
          <w:rFonts w:cs="Arial"/>
          <w:b/>
          <w:iCs/>
          <w:color w:val="000000"/>
          <w:szCs w:val="20"/>
        </w:rPr>
        <w:t>inciso  II</w:t>
      </w:r>
      <w:r>
        <w:rPr>
          <w:rFonts w:cs="Arial"/>
          <w:i/>
          <w:iCs/>
          <w:color w:val="000000"/>
          <w:szCs w:val="20"/>
        </w:rPr>
        <w:t xml:space="preserve">, </w:t>
      </w:r>
      <w:r>
        <w:rPr>
          <w:rFonts w:cs="Arial"/>
          <w:bCs/>
          <w:color w:val="000000"/>
          <w:szCs w:val="20"/>
        </w:rPr>
        <w:t>nos termos da Lei nº 14.133, de 1º de abril de 2021, da Instrução Normativa SEGES/ME nº 67/2021 e demais legislação aplicável</w:t>
      </w:r>
      <w:r>
        <w:rPr>
          <w:rFonts w:cs="Arial"/>
          <w:color w:val="000000"/>
          <w:szCs w:val="20"/>
        </w:rPr>
        <w:t>.</w:t>
      </w:r>
    </w:p>
    <w:p>
      <w:pPr>
        <w:pStyle w:val="Normal"/>
        <w:spacing w:lineRule="auto" w:line="276"/>
        <w:jc w:val="both"/>
        <w:rPr/>
      </w:pPr>
      <w:r>
        <w:rPr>
          <w:rFonts w:cs="Arial"/>
          <w:color w:val="000000"/>
          <w:szCs w:val="20"/>
        </w:rPr>
        <w:t>Data da sessão: 0</w:t>
      </w:r>
      <w:r>
        <w:rPr>
          <w:rFonts w:cs="Arial"/>
          <w:color w:val="auto"/>
          <w:szCs w:val="20"/>
        </w:rPr>
        <w:t>8/12/2023</w:t>
      </w:r>
    </w:p>
    <w:p>
      <w:pPr>
        <w:pStyle w:val="Normal"/>
        <w:rPr>
          <w:rFonts w:cs="Arial"/>
          <w:color w:val="000000"/>
          <w:szCs w:val="20"/>
        </w:rPr>
      </w:pPr>
      <w:r>
        <w:rPr>
          <w:rFonts w:cs="Arial"/>
          <w:color w:val="000000"/>
          <w:szCs w:val="20"/>
        </w:rPr>
        <w:t>Link: www.comprasgovernamentais.gov.br</w:t>
      </w:r>
    </w:p>
    <w:p>
      <w:pPr>
        <w:pStyle w:val="Normal"/>
        <w:rPr>
          <w:rFonts w:cs="Arial"/>
          <w:color w:val="000000"/>
          <w:szCs w:val="20"/>
        </w:rPr>
      </w:pPr>
      <w:r>
        <w:rPr>
          <w:rFonts w:cs="Arial"/>
          <w:color w:val="000000"/>
          <w:szCs w:val="20"/>
        </w:rPr>
        <w:t>Horário da Fase de Lances: 8:00 (horário de Brasília)</w:t>
      </w:r>
    </w:p>
    <w:p>
      <w:pPr>
        <w:pStyle w:val="PADRO"/>
        <w:widowControl/>
        <w:numPr>
          <w:ilvl w:val="0"/>
          <w:numId w:val="1"/>
        </w:numPr>
        <w:spacing w:before="120" w:after="120"/>
        <w:rPr>
          <w:rFonts w:ascii="Arial" w:hAnsi="Arial" w:cs="Arial"/>
          <w:b/>
          <w:b/>
        </w:rPr>
      </w:pPr>
      <w:r>
        <w:rPr>
          <w:rFonts w:cs="Arial" w:ascii="Arial" w:hAnsi="Arial"/>
          <w:b/>
          <w:color w:val="000000"/>
        </w:rPr>
        <w:t>OBJETO DA CONTRATAÇÃO DIRETA</w:t>
      </w:r>
    </w:p>
    <w:p>
      <w:pPr>
        <w:pStyle w:val="PADRO"/>
        <w:widowControl/>
        <w:numPr>
          <w:ilvl w:val="1"/>
          <w:numId w:val="1"/>
        </w:numPr>
        <w:spacing w:before="120" w:after="120"/>
        <w:rPr>
          <w:color w:val="000000"/>
        </w:rPr>
      </w:pPr>
      <w:r>
        <w:rPr>
          <w:rFonts w:cs="Arial" w:ascii="Arial" w:hAnsi="Arial"/>
          <w:iCs/>
          <w:color w:val="000000"/>
          <w:szCs w:val="20"/>
        </w:rPr>
        <w:t xml:space="preserve">A contratação ocorrerá em </w:t>
      </w:r>
      <w:r>
        <w:rPr>
          <w:rFonts w:cs="Arial" w:ascii="Arial" w:hAnsi="Arial"/>
          <w:b/>
          <w:bCs/>
          <w:iCs/>
          <w:color w:val="000000"/>
          <w:szCs w:val="20"/>
        </w:rPr>
        <w:t>tr</w:t>
      </w:r>
      <w:r>
        <w:rPr>
          <w:rFonts w:eastAsia="WenQuanYi Micro Hei" w:cs="Arial" w:ascii="Arial" w:hAnsi="Arial"/>
          <w:b/>
          <w:bCs/>
          <w:iCs/>
          <w:color w:val="000000"/>
          <w:kern w:val="0"/>
          <w:sz w:val="20"/>
          <w:szCs w:val="20"/>
          <w:lang w:val="pt-BR" w:eastAsia="zh-CN" w:bidi="hi-IN"/>
        </w:rPr>
        <w:t>ês</w:t>
      </w:r>
      <w:r>
        <w:rPr>
          <w:rFonts w:eastAsia="WenQuanYi Micro Hei" w:cs="Arial" w:ascii="Arial" w:hAnsi="Arial"/>
          <w:iCs/>
          <w:color w:val="000000"/>
          <w:kern w:val="0"/>
          <w:sz w:val="20"/>
          <w:szCs w:val="20"/>
          <w:lang w:val="pt-BR" w:eastAsia="zh-CN" w:bidi="hi-IN"/>
        </w:rPr>
        <w:t xml:space="preserve"> </w:t>
      </w:r>
      <w:r>
        <w:rPr>
          <w:rFonts w:cs="Arial" w:ascii="Arial" w:hAnsi="Arial"/>
          <w:b/>
          <w:bCs/>
          <w:iCs/>
          <w:color w:val="000000"/>
          <w:szCs w:val="20"/>
        </w:rPr>
        <w:t>itens independentes,</w:t>
      </w:r>
      <w:r>
        <w:rPr>
          <w:rFonts w:cs="Arial" w:ascii="Arial" w:hAnsi="Arial"/>
          <w:iCs/>
          <w:color w:val="000000"/>
          <w:szCs w:val="20"/>
        </w:rPr>
        <w:t xml:space="preserve"> conforme tabela constante abaixo</w:t>
      </w:r>
      <w:r>
        <w:rPr>
          <w:rFonts w:cs="Arial" w:ascii="Arial" w:hAnsi="Arial"/>
          <w:i/>
          <w:iCs/>
          <w:color w:val="000000"/>
          <w:szCs w:val="20"/>
        </w:rPr>
        <w:t>.</w:t>
      </w:r>
    </w:p>
    <w:tbl>
      <w:tblPr>
        <w:tblW w:w="10154" w:type="dxa"/>
        <w:jc w:val="center"/>
        <w:tblInd w:w="0" w:type="dxa"/>
        <w:tblLayout w:type="fixed"/>
        <w:tblCellMar>
          <w:top w:w="0" w:type="dxa"/>
          <w:left w:w="98" w:type="dxa"/>
          <w:bottom w:w="0" w:type="dxa"/>
          <w:right w:w="108" w:type="dxa"/>
        </w:tblCellMar>
        <w:tblLook w:val="04a0" w:noHBand="0" w:noVBand="1" w:firstColumn="1" w:lastRow="0" w:lastColumn="0" w:firstRow="1"/>
      </w:tblPr>
      <w:tblGrid>
        <w:gridCol w:w="675"/>
        <w:gridCol w:w="4936"/>
        <w:gridCol w:w="962"/>
        <w:gridCol w:w="695"/>
        <w:gridCol w:w="1531"/>
        <w:gridCol w:w="1354"/>
      </w:tblGrid>
      <w:tr>
        <w:trPr>
          <w:trHeight w:val="1064" w:hRule="atLeast"/>
        </w:trPr>
        <w:tc>
          <w:tcPr>
            <w:tcW w:w="675" w:type="dxa"/>
            <w:tcBorders>
              <w:top w:val="single" w:sz="4" w:space="0" w:color="000001"/>
              <w:left w:val="single" w:sz="4" w:space="0" w:color="000001"/>
              <w:bottom w:val="single" w:sz="4" w:space="0" w:color="000001"/>
              <w:right w:val="single" w:sz="4" w:space="0" w:color="000001"/>
            </w:tcBorders>
            <w:shd w:color="auto" w:fill="F2F2F2" w:val="clear"/>
            <w:vAlign w:val="center"/>
          </w:tcPr>
          <w:p>
            <w:pPr>
              <w:pStyle w:val="Standard"/>
              <w:widowControl w:val="false"/>
              <w:jc w:val="center"/>
              <w:rPr>
                <w:rFonts w:ascii="Times New Roman" w:hAnsi="Times New Roman" w:cs="Times New Roman"/>
                <w:b/>
                <w:b/>
                <w:szCs w:val="20"/>
              </w:rPr>
            </w:pPr>
            <w:r>
              <w:rPr>
                <w:rFonts w:cs="Times New Roman" w:ascii="Times New Roman" w:hAnsi="Times New Roman"/>
                <w:b/>
                <w:color w:val="000000"/>
                <w:szCs w:val="20"/>
              </w:rPr>
              <w:t>Item</w:t>
            </w:r>
          </w:p>
        </w:tc>
        <w:tc>
          <w:tcPr>
            <w:tcW w:w="4936" w:type="dxa"/>
            <w:tcBorders>
              <w:top w:val="single" w:sz="4" w:space="0" w:color="000001"/>
              <w:left w:val="single" w:sz="4" w:space="0" w:color="000001"/>
              <w:bottom w:val="single" w:sz="4" w:space="0" w:color="000001"/>
              <w:right w:val="single" w:sz="4" w:space="0" w:color="000001"/>
            </w:tcBorders>
            <w:shd w:color="auto" w:fill="F2F2F2" w:val="clear"/>
            <w:vAlign w:val="center"/>
          </w:tcPr>
          <w:p>
            <w:pPr>
              <w:pStyle w:val="Standard"/>
              <w:widowControl w:val="false"/>
              <w:jc w:val="center"/>
              <w:rPr>
                <w:rFonts w:ascii="Times New Roman" w:hAnsi="Times New Roman" w:cs="Times New Roman"/>
                <w:b/>
                <w:b/>
                <w:szCs w:val="20"/>
              </w:rPr>
            </w:pPr>
            <w:r>
              <w:rPr>
                <w:rFonts w:cs="Times New Roman" w:ascii="Times New Roman" w:hAnsi="Times New Roman"/>
                <w:b/>
                <w:color w:val="000000"/>
                <w:szCs w:val="20"/>
              </w:rPr>
              <w:t>Descrição detalhada</w:t>
            </w:r>
          </w:p>
        </w:tc>
        <w:tc>
          <w:tcPr>
            <w:tcW w:w="962" w:type="dxa"/>
            <w:tcBorders>
              <w:top w:val="single" w:sz="4" w:space="0" w:color="000001"/>
              <w:left w:val="single" w:sz="4" w:space="0" w:color="000001"/>
              <w:bottom w:val="single" w:sz="4" w:space="0" w:color="000001"/>
              <w:right w:val="single" w:sz="4" w:space="0" w:color="000001"/>
            </w:tcBorders>
            <w:shd w:color="auto" w:fill="F2F2F2" w:val="clear"/>
            <w:vAlign w:val="center"/>
          </w:tcPr>
          <w:p>
            <w:pPr>
              <w:pStyle w:val="Standard"/>
              <w:widowControl w:val="false"/>
              <w:jc w:val="center"/>
              <w:rPr>
                <w:rFonts w:ascii="Times New Roman" w:hAnsi="Times New Roman" w:cs="Times New Roman"/>
                <w:b/>
                <w:b/>
                <w:szCs w:val="20"/>
              </w:rPr>
            </w:pPr>
            <w:r>
              <w:rPr>
                <w:rFonts w:cs="Times New Roman" w:ascii="Times New Roman" w:hAnsi="Times New Roman"/>
                <w:b/>
                <w:color w:val="000000"/>
                <w:szCs w:val="20"/>
              </w:rPr>
              <w:t>Unidade</w:t>
            </w:r>
          </w:p>
        </w:tc>
        <w:tc>
          <w:tcPr>
            <w:tcW w:w="695" w:type="dxa"/>
            <w:tcBorders>
              <w:top w:val="single" w:sz="4" w:space="0" w:color="000001"/>
              <w:left w:val="single" w:sz="4" w:space="0" w:color="000001"/>
              <w:bottom w:val="single" w:sz="4" w:space="0" w:color="000001"/>
              <w:right w:val="single" w:sz="4" w:space="0" w:color="000001"/>
            </w:tcBorders>
            <w:shd w:color="auto" w:fill="F2F2F2" w:val="clear"/>
            <w:vAlign w:val="center"/>
          </w:tcPr>
          <w:p>
            <w:pPr>
              <w:pStyle w:val="Standard"/>
              <w:widowControl w:val="false"/>
              <w:jc w:val="center"/>
              <w:rPr>
                <w:rFonts w:ascii="Times New Roman" w:hAnsi="Times New Roman" w:cs="Times New Roman"/>
                <w:b/>
                <w:b/>
                <w:szCs w:val="20"/>
              </w:rPr>
            </w:pPr>
            <w:r>
              <w:rPr>
                <w:rFonts w:cs="Times New Roman" w:ascii="Times New Roman" w:hAnsi="Times New Roman"/>
                <w:b/>
                <w:color w:val="000000"/>
                <w:szCs w:val="20"/>
              </w:rPr>
              <w:t>Qtd</w:t>
            </w:r>
          </w:p>
        </w:tc>
        <w:tc>
          <w:tcPr>
            <w:tcW w:w="1531" w:type="dxa"/>
            <w:tcBorders>
              <w:top w:val="single" w:sz="4" w:space="0" w:color="000001"/>
              <w:left w:val="single" w:sz="4" w:space="0" w:color="000001"/>
              <w:bottom w:val="single" w:sz="4" w:space="0" w:color="000001"/>
              <w:right w:val="single" w:sz="4" w:space="0" w:color="000001"/>
            </w:tcBorders>
            <w:shd w:color="auto" w:fill="F2F2F2" w:val="clear"/>
            <w:vAlign w:val="center"/>
          </w:tcPr>
          <w:p>
            <w:pPr>
              <w:pStyle w:val="Standard"/>
              <w:widowControl w:val="false"/>
              <w:jc w:val="center"/>
              <w:rPr>
                <w:rFonts w:ascii="Times New Roman" w:hAnsi="Times New Roman" w:cs="Times New Roman"/>
                <w:b/>
                <w:b/>
                <w:szCs w:val="20"/>
              </w:rPr>
            </w:pPr>
            <w:r>
              <w:rPr>
                <w:rFonts w:cs="Times New Roman" w:ascii="Times New Roman" w:hAnsi="Times New Roman"/>
                <w:b/>
                <w:color w:val="000000"/>
                <w:szCs w:val="20"/>
              </w:rPr>
              <w:t>Preço unitário de referência</w:t>
            </w:r>
          </w:p>
        </w:tc>
        <w:tc>
          <w:tcPr>
            <w:tcW w:w="1354" w:type="dxa"/>
            <w:tcBorders>
              <w:top w:val="single" w:sz="4" w:space="0" w:color="000001"/>
              <w:left w:val="single" w:sz="4" w:space="0" w:color="000001"/>
              <w:bottom w:val="single" w:sz="4" w:space="0" w:color="000001"/>
              <w:right w:val="single" w:sz="4" w:space="0" w:color="000001"/>
            </w:tcBorders>
            <w:shd w:color="auto" w:fill="F2F2F2" w:val="clear"/>
            <w:tcMar>
              <w:left w:w="0" w:type="dxa"/>
              <w:right w:w="10" w:type="dxa"/>
            </w:tcMar>
            <w:vAlign w:val="center"/>
          </w:tcPr>
          <w:p>
            <w:pPr>
              <w:pStyle w:val="Standard"/>
              <w:widowControl w:val="false"/>
              <w:jc w:val="center"/>
              <w:rPr>
                <w:rFonts w:ascii="Times New Roman" w:hAnsi="Times New Roman" w:cs="Times New Roman"/>
                <w:b/>
                <w:b/>
                <w:szCs w:val="20"/>
              </w:rPr>
            </w:pPr>
            <w:r>
              <w:rPr>
                <w:rFonts w:cs="Times New Roman" w:ascii="Times New Roman" w:hAnsi="Times New Roman"/>
                <w:b/>
                <w:color w:val="000000"/>
                <w:szCs w:val="20"/>
              </w:rPr>
              <w:t>Preço total</w:t>
            </w:r>
          </w:p>
          <w:p>
            <w:pPr>
              <w:pStyle w:val="Standard"/>
              <w:widowControl w:val="false"/>
              <w:jc w:val="center"/>
              <w:rPr>
                <w:rFonts w:ascii="Times New Roman" w:hAnsi="Times New Roman" w:cs="Times New Roman"/>
                <w:b/>
                <w:b/>
                <w:szCs w:val="20"/>
              </w:rPr>
            </w:pPr>
            <w:r>
              <w:rPr>
                <w:rFonts w:cs="Times New Roman" w:ascii="Times New Roman" w:hAnsi="Times New Roman"/>
                <w:b/>
                <w:color w:val="000000"/>
                <w:szCs w:val="20"/>
              </w:rPr>
              <w:t>de referência</w:t>
            </w:r>
          </w:p>
        </w:tc>
      </w:tr>
      <w:tr>
        <w:trPr/>
        <w:tc>
          <w:tcPr>
            <w:tcW w:w="675" w:type="dxa"/>
            <w:tcBorders>
              <w:top w:val="single" w:sz="4" w:space="0" w:color="000001"/>
              <w:left w:val="single" w:sz="4" w:space="0" w:color="000001"/>
              <w:bottom w:val="single" w:sz="4" w:space="0" w:color="000001"/>
              <w:right w:val="single" w:sz="4" w:space="0" w:color="000001"/>
            </w:tcBorders>
            <w:shd w:color="auto" w:fill="auto" w:val="clear"/>
            <w:tcMar>
              <w:top w:w="55" w:type="dxa"/>
              <w:left w:w="30" w:type="dxa"/>
              <w:bottom w:w="55" w:type="dxa"/>
              <w:right w:w="55" w:type="dxa"/>
            </w:tcMar>
            <w:vAlign w:val="center"/>
          </w:tcPr>
          <w:p>
            <w:pPr>
              <w:pStyle w:val="Standard"/>
              <w:widowControl w:val="false"/>
              <w:jc w:val="center"/>
              <w:rPr>
                <w:rFonts w:ascii="Times New Roman" w:hAnsi="Times New Roman"/>
                <w:szCs w:val="20"/>
              </w:rPr>
            </w:pPr>
            <w:r>
              <w:rPr>
                <w:rStyle w:val="Nfaseforte"/>
                <w:rFonts w:cs="Times New Roman" w:ascii="Times New Roman" w:hAnsi="Times New Roman"/>
                <w:b w:val="false"/>
                <w:bCs w:val="false"/>
                <w:szCs w:val="20"/>
              </w:rPr>
              <w:t>01</w:t>
            </w:r>
          </w:p>
        </w:tc>
        <w:tc>
          <w:tcPr>
            <w:tcW w:w="4936" w:type="dxa"/>
            <w:tcBorders>
              <w:top w:val="single" w:sz="4" w:space="0" w:color="000001"/>
              <w:left w:val="single" w:sz="4" w:space="0" w:color="000001"/>
              <w:bottom w:val="single" w:sz="4" w:space="0" w:color="000001"/>
              <w:right w:val="single" w:sz="4" w:space="0" w:color="000001"/>
            </w:tcBorders>
            <w:shd w:color="auto" w:fill="auto" w:val="clear"/>
            <w:tcMar>
              <w:top w:w="55" w:type="dxa"/>
              <w:left w:w="30" w:type="dxa"/>
              <w:bottom w:w="55" w:type="dxa"/>
              <w:right w:w="55" w:type="dxa"/>
            </w:tcMar>
            <w:vAlign w:val="center"/>
          </w:tcPr>
          <w:p>
            <w:pPr>
              <w:pStyle w:val="Normal"/>
              <w:widowControl w:val="false"/>
              <w:jc w:val="both"/>
              <w:rPr/>
            </w:pPr>
            <w:r>
              <w:rPr>
                <w:rStyle w:val="Nfaseforte"/>
                <w:rFonts w:eastAsia="Calibri" w:cs="Times New Roman" w:ascii="Times New Roman" w:hAnsi="Times New Roman"/>
                <w:b w:val="false"/>
                <w:bCs w:val="false"/>
                <w:color w:val="00000A"/>
                <w:kern w:val="0"/>
                <w:sz w:val="20"/>
                <w:szCs w:val="20"/>
                <w:lang w:val="pt-BR" w:eastAsia="pt-BR" w:bidi="ar-SA"/>
              </w:rPr>
              <w:t>Bandeira personalizada 0,95 x 2,00 mts Modelo Stampo Digital Dupla Face. Confeccionada em tecido 100% poly. Brilhante c/ 160 grs/m² ou 280 grs/m</w:t>
            </w:r>
            <w:r>
              <w:rPr>
                <w:rStyle w:val="Nfaseforte"/>
                <w:rFonts w:eastAsia="Calibri" w:cs="Times New Roman" w:ascii="Times New Roman" w:hAnsi="Times New Roman"/>
                <w:b w:val="false"/>
                <w:bCs w:val="false"/>
                <w:color w:val="00000A"/>
                <w:kern w:val="0"/>
                <w:sz w:val="20"/>
                <w:szCs w:val="20"/>
                <w:lang w:val="pt-BR" w:eastAsia="pt-BR" w:bidi="ar-SA"/>
              </w:rPr>
              <w:t>t</w:t>
            </w:r>
            <w:r>
              <w:rPr>
                <w:rStyle w:val="Nfaseforte"/>
                <w:rFonts w:eastAsia="Calibri" w:cs="Times New Roman" w:ascii="Times New Roman" w:hAnsi="Times New Roman"/>
                <w:b w:val="false"/>
                <w:bCs w:val="false"/>
                <w:color w:val="00000A"/>
                <w:kern w:val="0"/>
                <w:sz w:val="20"/>
                <w:szCs w:val="20"/>
                <w:lang w:val="pt-BR" w:eastAsia="pt-BR" w:bidi="ar-SA"/>
              </w:rPr>
              <w:t xml:space="preserve"> linear, malha bloqueada cores e padrões oficiais para uso externo. Conforme ABNT NBR 16286/2019 e 16287/2019 com bases de madeira em ambas as tarjas. Conforme modelo anexo. O fornecedor, antes de confeccionar deverá solicitar o envio do modelo exato a ser executado no e-mail:comsoc@4bavex.eb.mil.br.</w:t>
            </w:r>
          </w:p>
        </w:tc>
        <w:tc>
          <w:tcPr>
            <w:tcW w:w="962" w:type="dxa"/>
            <w:tcBorders>
              <w:top w:val="single" w:sz="4" w:space="0" w:color="000001"/>
              <w:left w:val="single" w:sz="4" w:space="0" w:color="000001"/>
              <w:bottom w:val="single" w:sz="4" w:space="0" w:color="000001"/>
              <w:right w:val="single" w:sz="4" w:space="0" w:color="000001"/>
            </w:tcBorders>
            <w:shd w:color="auto" w:fill="auto" w:val="clear"/>
            <w:tcMar>
              <w:top w:w="55" w:type="dxa"/>
              <w:left w:w="30" w:type="dxa"/>
              <w:bottom w:w="55" w:type="dxa"/>
              <w:right w:w="55" w:type="dxa"/>
            </w:tcMar>
            <w:vAlign w:val="center"/>
          </w:tcPr>
          <w:p>
            <w:pPr>
              <w:pStyle w:val="Normal"/>
              <w:widowControl w:val="false"/>
              <w:spacing w:lineRule="auto" w:line="276"/>
              <w:jc w:val="center"/>
              <w:rPr>
                <w:rFonts w:ascii="Times New Roman" w:hAnsi="Times New Roman"/>
                <w:szCs w:val="20"/>
              </w:rPr>
            </w:pPr>
            <w:r>
              <w:rPr>
                <w:rStyle w:val="Nfaseforte"/>
                <w:rFonts w:eastAsia="Calibri" w:cs="Times New Roman" w:ascii="Times New Roman" w:hAnsi="Times New Roman"/>
                <w:b w:val="false"/>
                <w:bCs w:val="false"/>
                <w:szCs w:val="20"/>
              </w:rPr>
              <w:t>Und</w:t>
            </w:r>
          </w:p>
        </w:tc>
        <w:tc>
          <w:tcPr>
            <w:tcW w:w="695" w:type="dxa"/>
            <w:tcBorders>
              <w:top w:val="single" w:sz="4" w:space="0" w:color="000001"/>
              <w:left w:val="single" w:sz="4" w:space="0" w:color="000001"/>
              <w:bottom w:val="single" w:sz="4" w:space="0" w:color="000001"/>
              <w:right w:val="single" w:sz="4" w:space="0" w:color="000001"/>
            </w:tcBorders>
            <w:shd w:color="auto" w:fill="auto" w:val="clear"/>
            <w:tcMar>
              <w:top w:w="55" w:type="dxa"/>
              <w:left w:w="30" w:type="dxa"/>
              <w:bottom w:w="55" w:type="dxa"/>
              <w:right w:w="55" w:type="dxa"/>
            </w:tcMar>
            <w:vAlign w:val="center"/>
          </w:tcPr>
          <w:p>
            <w:pPr>
              <w:pStyle w:val="Normal"/>
              <w:widowControl w:val="false"/>
              <w:suppressAutoHyphens w:val="true"/>
              <w:bidi w:val="0"/>
              <w:spacing w:lineRule="auto" w:line="276" w:before="0" w:after="0"/>
              <w:ind w:left="0" w:right="0" w:hanging="0"/>
              <w:jc w:val="center"/>
              <w:rPr>
                <w:rFonts w:ascii="Times New Roman" w:hAnsi="Times New Roman"/>
                <w:szCs w:val="20"/>
              </w:rPr>
            </w:pPr>
            <w:r>
              <w:rPr>
                <w:rStyle w:val="Nfaseforte"/>
                <w:rFonts w:eastAsia="Calibri" w:cs="Times New Roman" w:ascii="Times New Roman" w:hAnsi="Times New Roman"/>
                <w:b w:val="false"/>
                <w:bCs w:val="false"/>
                <w:szCs w:val="20"/>
              </w:rPr>
              <w:t>02</w:t>
            </w:r>
          </w:p>
        </w:tc>
        <w:tc>
          <w:tcPr>
            <w:tcW w:w="1531" w:type="dxa"/>
            <w:tcBorders>
              <w:top w:val="single" w:sz="4" w:space="0" w:color="000001"/>
              <w:left w:val="single" w:sz="4" w:space="0" w:color="000001"/>
              <w:bottom w:val="single" w:sz="4" w:space="0" w:color="000001"/>
              <w:right w:val="single" w:sz="4" w:space="0" w:color="000001"/>
            </w:tcBorders>
            <w:shd w:color="auto" w:fill="auto" w:val="clear"/>
            <w:tcMar>
              <w:top w:w="55" w:type="dxa"/>
              <w:left w:w="30" w:type="dxa"/>
              <w:bottom w:w="55" w:type="dxa"/>
              <w:right w:w="55" w:type="dxa"/>
            </w:tcMar>
            <w:vAlign w:val="center"/>
          </w:tcPr>
          <w:p>
            <w:pPr>
              <w:pStyle w:val="Standard"/>
              <w:widowControl w:val="false"/>
              <w:jc w:val="center"/>
              <w:rPr>
                <w:rFonts w:ascii="Times New Roman" w:hAnsi="Times New Roman"/>
                <w:szCs w:val="20"/>
              </w:rPr>
            </w:pPr>
            <w:r>
              <w:rPr>
                <w:rStyle w:val="Nfaseforte"/>
                <w:rFonts w:cs="Times New Roman" w:ascii="Times New Roman" w:hAnsi="Times New Roman"/>
                <w:b w:val="false"/>
                <w:bCs w:val="false"/>
                <w:szCs w:val="20"/>
              </w:rPr>
              <w:t>R$ 307,66</w:t>
            </w:r>
          </w:p>
        </w:tc>
        <w:tc>
          <w:tcPr>
            <w:tcW w:w="1354" w:type="dxa"/>
            <w:tcBorders>
              <w:top w:val="single" w:sz="4" w:space="0" w:color="000001"/>
              <w:left w:val="single" w:sz="4" w:space="0" w:color="000001"/>
              <w:bottom w:val="single" w:sz="4" w:space="0" w:color="000001"/>
              <w:right w:val="single" w:sz="4" w:space="0" w:color="000001"/>
            </w:tcBorders>
            <w:shd w:color="auto" w:fill="auto" w:val="clear"/>
            <w:tcMar>
              <w:top w:w="55" w:type="dxa"/>
              <w:left w:w="30" w:type="dxa"/>
              <w:bottom w:w="55" w:type="dxa"/>
              <w:right w:w="55" w:type="dxa"/>
            </w:tcMar>
            <w:vAlign w:val="center"/>
          </w:tcPr>
          <w:p>
            <w:pPr>
              <w:pStyle w:val="Standard"/>
              <w:widowControl w:val="false"/>
              <w:spacing w:before="0" w:after="160"/>
              <w:jc w:val="center"/>
              <w:rPr/>
            </w:pPr>
            <w:r>
              <w:rPr>
                <w:rStyle w:val="Nfaseforte"/>
                <w:rFonts w:cs="Times New Roman" w:ascii="Times New Roman" w:hAnsi="Times New Roman"/>
                <w:b w:val="false"/>
                <w:bCs w:val="false"/>
                <w:szCs w:val="20"/>
              </w:rPr>
              <w:t>R$ 615,32</w:t>
            </w:r>
          </w:p>
        </w:tc>
      </w:tr>
      <w:tr>
        <w:trPr/>
        <w:tc>
          <w:tcPr>
            <w:tcW w:w="675" w:type="dxa"/>
            <w:tcBorders>
              <w:left w:val="single" w:sz="4" w:space="0" w:color="000001"/>
              <w:bottom w:val="single" w:sz="4" w:space="0" w:color="000001"/>
              <w:right w:val="single" w:sz="4" w:space="0" w:color="000001"/>
            </w:tcBorders>
            <w:shd w:color="auto" w:fill="auto" w:val="clear"/>
            <w:tcMar>
              <w:top w:w="55" w:type="dxa"/>
              <w:left w:w="30" w:type="dxa"/>
              <w:bottom w:w="55" w:type="dxa"/>
              <w:right w:w="55" w:type="dxa"/>
            </w:tcMar>
            <w:vAlign w:val="center"/>
          </w:tcPr>
          <w:p>
            <w:pPr>
              <w:pStyle w:val="Standard"/>
              <w:widowControl w:val="false"/>
              <w:jc w:val="center"/>
              <w:rPr>
                <w:rFonts w:ascii="Times New Roman" w:hAnsi="Times New Roman"/>
                <w:szCs w:val="20"/>
              </w:rPr>
            </w:pPr>
            <w:r>
              <w:rPr>
                <w:rFonts w:ascii="Times New Roman" w:hAnsi="Times New Roman"/>
                <w:szCs w:val="20"/>
              </w:rPr>
              <w:t>02</w:t>
            </w:r>
          </w:p>
        </w:tc>
        <w:tc>
          <w:tcPr>
            <w:tcW w:w="4936" w:type="dxa"/>
            <w:tcBorders>
              <w:left w:val="single" w:sz="4" w:space="0" w:color="000001"/>
              <w:bottom w:val="single" w:sz="4" w:space="0" w:color="000001"/>
              <w:right w:val="single" w:sz="4" w:space="0" w:color="000001"/>
            </w:tcBorders>
            <w:shd w:color="auto" w:fill="auto" w:val="clear"/>
            <w:tcMar>
              <w:top w:w="55" w:type="dxa"/>
              <w:left w:w="30" w:type="dxa"/>
              <w:bottom w:w="55" w:type="dxa"/>
              <w:right w:w="55" w:type="dxa"/>
            </w:tcMar>
            <w:vAlign w:val="center"/>
          </w:tcPr>
          <w:p>
            <w:pPr>
              <w:pStyle w:val="Normal"/>
              <w:widowControl w:val="false"/>
              <w:jc w:val="both"/>
              <w:rPr/>
            </w:pPr>
            <w:r>
              <w:rPr>
                <w:rStyle w:val="Nfaseforte"/>
                <w:rFonts w:eastAsia="Calibri" w:cs="Times New Roman" w:ascii="Times New Roman" w:hAnsi="Times New Roman"/>
                <w:b w:val="false"/>
                <w:bCs w:val="false"/>
                <w:color w:val="00000A"/>
                <w:kern w:val="0"/>
                <w:sz w:val="20"/>
                <w:szCs w:val="20"/>
                <w:lang w:val="pt-BR" w:eastAsia="pt-BR" w:bidi="ar-SA"/>
              </w:rPr>
              <w:t>Bandeira personalizada 0,</w:t>
            </w:r>
            <w:r>
              <w:rPr>
                <w:rStyle w:val="Nfaseforte"/>
                <w:rFonts w:eastAsia="Calibri" w:cs="Times New Roman" w:ascii="Times New Roman" w:hAnsi="Times New Roman"/>
                <w:b w:val="false"/>
                <w:bCs w:val="false"/>
                <w:color w:val="00000A"/>
                <w:kern w:val="0"/>
                <w:sz w:val="20"/>
                <w:szCs w:val="20"/>
                <w:lang w:val="pt-BR" w:eastAsia="pt-BR" w:bidi="ar-SA"/>
              </w:rPr>
              <w:t>70</w:t>
            </w:r>
            <w:r>
              <w:rPr>
                <w:rStyle w:val="Nfaseforte"/>
                <w:rFonts w:eastAsia="Calibri" w:cs="Times New Roman" w:ascii="Times New Roman" w:hAnsi="Times New Roman"/>
                <w:b w:val="false"/>
                <w:bCs w:val="false"/>
                <w:color w:val="00000A"/>
                <w:kern w:val="0"/>
                <w:sz w:val="20"/>
                <w:szCs w:val="20"/>
                <w:lang w:val="pt-BR" w:eastAsia="pt-BR" w:bidi="ar-SA"/>
              </w:rPr>
              <w:t xml:space="preserve"> x 2,00 mts Modelo Stampo Digital Dupla Face. Confeccionada em tecido 100% poly. Brilhante c/ 160 grs/m² ou 280 grs/mt</w:t>
            </w:r>
            <w:r>
              <w:rPr>
                <w:rStyle w:val="Nfaseforte"/>
                <w:rFonts w:eastAsia="Calibri" w:cs="Times New Roman" w:ascii="Times New Roman" w:hAnsi="Times New Roman"/>
                <w:b w:val="false"/>
                <w:bCs w:val="false"/>
                <w:color w:val="00000A"/>
                <w:kern w:val="0"/>
                <w:sz w:val="20"/>
                <w:szCs w:val="20"/>
                <w:lang w:val="pt-BR" w:eastAsia="pt-BR" w:bidi="ar-SA"/>
              </w:rPr>
              <w:t xml:space="preserve"> linear, malha bloqueada cores e padrões oficiais para uso externo. Conforme ABNT NBR 16286/2019 e 16287/2019 com bases de madeira em ambas as tarjas. Conforme modelo anexo – 2 unidades de cada bandeira. O fornecedor, antes de confeccionar deverá solicitar o envio do modelo exato a ser executado no e-mail:comsoc@4bavex.eb.mil.br.</w:t>
            </w:r>
          </w:p>
        </w:tc>
        <w:tc>
          <w:tcPr>
            <w:tcW w:w="962" w:type="dxa"/>
            <w:tcBorders>
              <w:left w:val="single" w:sz="4" w:space="0" w:color="000001"/>
              <w:bottom w:val="single" w:sz="4" w:space="0" w:color="000001"/>
              <w:right w:val="single" w:sz="4" w:space="0" w:color="000001"/>
            </w:tcBorders>
            <w:shd w:color="auto" w:fill="auto" w:val="clear"/>
            <w:tcMar>
              <w:top w:w="55" w:type="dxa"/>
              <w:left w:w="30" w:type="dxa"/>
              <w:bottom w:w="55" w:type="dxa"/>
              <w:right w:w="55" w:type="dxa"/>
            </w:tcMar>
            <w:vAlign w:val="center"/>
          </w:tcPr>
          <w:p>
            <w:pPr>
              <w:pStyle w:val="Normal"/>
              <w:widowControl w:val="false"/>
              <w:spacing w:lineRule="auto" w:line="276"/>
              <w:jc w:val="center"/>
              <w:rPr>
                <w:rFonts w:ascii="Times New Roman" w:hAnsi="Times New Roman"/>
                <w:szCs w:val="20"/>
              </w:rPr>
            </w:pPr>
            <w:r>
              <w:rPr>
                <w:rStyle w:val="Nfaseforte"/>
                <w:rFonts w:eastAsia="Calibri" w:cs="Times New Roman" w:ascii="Times New Roman" w:hAnsi="Times New Roman"/>
                <w:b w:val="false"/>
                <w:bCs w:val="false"/>
                <w:szCs w:val="20"/>
              </w:rPr>
              <w:t>Und</w:t>
            </w:r>
          </w:p>
        </w:tc>
        <w:tc>
          <w:tcPr>
            <w:tcW w:w="695" w:type="dxa"/>
            <w:tcBorders>
              <w:left w:val="single" w:sz="4" w:space="0" w:color="000001"/>
              <w:bottom w:val="single" w:sz="4" w:space="0" w:color="000001"/>
              <w:right w:val="single" w:sz="4" w:space="0" w:color="000001"/>
            </w:tcBorders>
            <w:shd w:color="auto" w:fill="auto" w:val="clear"/>
            <w:tcMar>
              <w:top w:w="55" w:type="dxa"/>
              <w:left w:w="30" w:type="dxa"/>
              <w:bottom w:w="55" w:type="dxa"/>
              <w:right w:w="55" w:type="dxa"/>
            </w:tcMar>
            <w:vAlign w:val="center"/>
          </w:tcPr>
          <w:p>
            <w:pPr>
              <w:pStyle w:val="Normal"/>
              <w:widowControl w:val="false"/>
              <w:suppressAutoHyphens w:val="true"/>
              <w:bidi w:val="0"/>
              <w:spacing w:lineRule="auto" w:line="276" w:before="0" w:after="0"/>
              <w:ind w:left="0" w:right="0" w:hanging="0"/>
              <w:jc w:val="center"/>
              <w:rPr>
                <w:rFonts w:ascii="Times New Roman" w:hAnsi="Times New Roman"/>
                <w:szCs w:val="20"/>
              </w:rPr>
            </w:pPr>
            <w:r>
              <w:rPr>
                <w:rFonts w:ascii="Times New Roman" w:hAnsi="Times New Roman"/>
                <w:szCs w:val="20"/>
              </w:rPr>
              <w:t>12</w:t>
            </w:r>
          </w:p>
        </w:tc>
        <w:tc>
          <w:tcPr>
            <w:tcW w:w="1531" w:type="dxa"/>
            <w:tcBorders>
              <w:left w:val="single" w:sz="4" w:space="0" w:color="000001"/>
              <w:bottom w:val="single" w:sz="4" w:space="0" w:color="000001"/>
              <w:right w:val="single" w:sz="4" w:space="0" w:color="000001"/>
            </w:tcBorders>
            <w:shd w:color="auto" w:fill="auto" w:val="clear"/>
            <w:tcMar>
              <w:top w:w="55" w:type="dxa"/>
              <w:left w:w="30" w:type="dxa"/>
              <w:bottom w:w="55" w:type="dxa"/>
              <w:right w:w="55" w:type="dxa"/>
            </w:tcMar>
            <w:vAlign w:val="center"/>
          </w:tcPr>
          <w:p>
            <w:pPr>
              <w:pStyle w:val="Standard"/>
              <w:widowControl w:val="false"/>
              <w:jc w:val="center"/>
              <w:rPr>
                <w:rFonts w:ascii="Times New Roman" w:hAnsi="Times New Roman"/>
                <w:szCs w:val="20"/>
              </w:rPr>
            </w:pPr>
            <w:r>
              <w:rPr>
                <w:rStyle w:val="Nfaseforte"/>
                <w:rFonts w:cs="Times New Roman" w:ascii="Times New Roman" w:hAnsi="Times New Roman"/>
                <w:b w:val="false"/>
                <w:bCs w:val="false"/>
                <w:szCs w:val="20"/>
              </w:rPr>
              <w:t>R$ 288,33</w:t>
            </w:r>
          </w:p>
        </w:tc>
        <w:tc>
          <w:tcPr>
            <w:tcW w:w="1354" w:type="dxa"/>
            <w:tcBorders>
              <w:left w:val="single" w:sz="4" w:space="0" w:color="000001"/>
              <w:bottom w:val="single" w:sz="4" w:space="0" w:color="000001"/>
              <w:right w:val="single" w:sz="4" w:space="0" w:color="000001"/>
            </w:tcBorders>
            <w:shd w:color="auto" w:fill="auto" w:val="clear"/>
            <w:tcMar>
              <w:top w:w="55" w:type="dxa"/>
              <w:left w:w="30" w:type="dxa"/>
              <w:bottom w:w="55" w:type="dxa"/>
              <w:right w:w="55" w:type="dxa"/>
            </w:tcMar>
            <w:vAlign w:val="center"/>
          </w:tcPr>
          <w:p>
            <w:pPr>
              <w:pStyle w:val="Standard"/>
              <w:widowControl w:val="false"/>
              <w:spacing w:before="0" w:after="160"/>
              <w:jc w:val="center"/>
              <w:rPr>
                <w:rFonts w:ascii="Times New Roman" w:hAnsi="Times New Roman"/>
                <w:szCs w:val="20"/>
              </w:rPr>
            </w:pPr>
            <w:r>
              <w:rPr>
                <w:rStyle w:val="Nfaseforte"/>
                <w:rFonts w:cs="Times New Roman" w:ascii="Times New Roman" w:hAnsi="Times New Roman"/>
                <w:b w:val="false"/>
                <w:bCs w:val="false"/>
                <w:szCs w:val="20"/>
              </w:rPr>
              <w:t>R$ 3.459,96</w:t>
            </w:r>
          </w:p>
        </w:tc>
      </w:tr>
      <w:tr>
        <w:trPr/>
        <w:tc>
          <w:tcPr>
            <w:tcW w:w="675" w:type="dxa"/>
            <w:tcBorders>
              <w:left w:val="single" w:sz="4" w:space="0" w:color="000001"/>
              <w:bottom w:val="single" w:sz="4" w:space="0" w:color="000001"/>
              <w:right w:val="single" w:sz="4" w:space="0" w:color="000001"/>
            </w:tcBorders>
            <w:shd w:color="auto" w:fill="auto" w:val="clear"/>
            <w:tcMar>
              <w:top w:w="55" w:type="dxa"/>
              <w:left w:w="30" w:type="dxa"/>
              <w:bottom w:w="55" w:type="dxa"/>
              <w:right w:w="55" w:type="dxa"/>
            </w:tcMar>
            <w:vAlign w:val="center"/>
          </w:tcPr>
          <w:p>
            <w:pPr>
              <w:pStyle w:val="Standard"/>
              <w:widowControl w:val="false"/>
              <w:jc w:val="center"/>
              <w:rPr>
                <w:rFonts w:ascii="Times New Roman" w:hAnsi="Times New Roman"/>
                <w:szCs w:val="20"/>
              </w:rPr>
            </w:pPr>
            <w:r>
              <w:rPr>
                <w:rFonts w:ascii="Times New Roman" w:hAnsi="Times New Roman"/>
                <w:szCs w:val="20"/>
              </w:rPr>
              <w:t>03</w:t>
            </w:r>
          </w:p>
        </w:tc>
        <w:tc>
          <w:tcPr>
            <w:tcW w:w="4936" w:type="dxa"/>
            <w:tcBorders>
              <w:left w:val="single" w:sz="4" w:space="0" w:color="000001"/>
              <w:bottom w:val="single" w:sz="4" w:space="0" w:color="000001"/>
              <w:right w:val="single" w:sz="4" w:space="0" w:color="000001"/>
            </w:tcBorders>
            <w:shd w:color="auto" w:fill="auto" w:val="clear"/>
            <w:tcMar>
              <w:top w:w="55" w:type="dxa"/>
              <w:left w:w="30" w:type="dxa"/>
              <w:bottom w:w="55" w:type="dxa"/>
              <w:right w:w="55" w:type="dxa"/>
            </w:tcMar>
            <w:vAlign w:val="center"/>
          </w:tcPr>
          <w:p>
            <w:pPr>
              <w:pStyle w:val="Normal"/>
              <w:widowControl w:val="false"/>
              <w:jc w:val="both"/>
              <w:rPr>
                <w:rStyle w:val="Nfaseforte"/>
                <w:rFonts w:ascii="Times New Roman" w:hAnsi="Times New Roman" w:eastAsia="Calibri" w:cs="Times New Roman"/>
                <w:b/>
                <w:b/>
                <w:bCs/>
                <w:color w:val="00000A"/>
                <w:kern w:val="0"/>
                <w:sz w:val="20"/>
                <w:szCs w:val="20"/>
                <w:lang w:val="pt-BR" w:eastAsia="pt-BR" w:bidi="ar-SA"/>
              </w:rPr>
            </w:pPr>
            <w:r>
              <w:rPr>
                <w:rStyle w:val="Nfaseforte"/>
                <w:rFonts w:eastAsia="Calibri" w:cs="Times New Roman" w:ascii="Times New Roman" w:hAnsi="Times New Roman"/>
                <w:b w:val="false"/>
                <w:bCs w:val="false"/>
                <w:color w:val="00000A"/>
                <w:kern w:val="0"/>
                <w:sz w:val="20"/>
                <w:szCs w:val="20"/>
                <w:lang w:val="pt-BR" w:eastAsia="pt-BR" w:bidi="ar-SA"/>
              </w:rPr>
              <w:t>Bandeira de todos os Estados Brasileiros + Distrito  Federal, 1.1/2 Pano (1,00x0,70), estampa em tecido 100% poliéster, malha bloqueada indesmalhável, com bases de madeira em ambas as tarjas, gramatura mínima de 140 g/m², tingimento dos tecidos com corantes de alta durabilidade e resistência, bordada, dupla face, dupla tarja branca. (2 unidades de cada bandeira).</w:t>
            </w:r>
          </w:p>
        </w:tc>
        <w:tc>
          <w:tcPr>
            <w:tcW w:w="962" w:type="dxa"/>
            <w:tcBorders>
              <w:left w:val="single" w:sz="4" w:space="0" w:color="000001"/>
              <w:bottom w:val="single" w:sz="4" w:space="0" w:color="000001"/>
              <w:right w:val="single" w:sz="4" w:space="0" w:color="000001"/>
            </w:tcBorders>
            <w:shd w:color="auto" w:fill="auto" w:val="clear"/>
            <w:tcMar>
              <w:top w:w="55" w:type="dxa"/>
              <w:left w:w="30" w:type="dxa"/>
              <w:bottom w:w="55" w:type="dxa"/>
              <w:right w:w="55" w:type="dxa"/>
            </w:tcMar>
            <w:vAlign w:val="center"/>
          </w:tcPr>
          <w:p>
            <w:pPr>
              <w:pStyle w:val="Normal"/>
              <w:widowControl w:val="false"/>
              <w:spacing w:lineRule="auto" w:line="276"/>
              <w:jc w:val="center"/>
              <w:rPr>
                <w:rFonts w:ascii="Times New Roman" w:hAnsi="Times New Roman"/>
                <w:szCs w:val="20"/>
              </w:rPr>
            </w:pPr>
            <w:r>
              <w:rPr>
                <w:rStyle w:val="Nfaseforte"/>
                <w:rFonts w:eastAsia="Calibri" w:cs="Times New Roman" w:ascii="Times New Roman" w:hAnsi="Times New Roman"/>
                <w:b w:val="false"/>
                <w:bCs w:val="false"/>
                <w:szCs w:val="20"/>
              </w:rPr>
              <w:t>Und</w:t>
            </w:r>
          </w:p>
        </w:tc>
        <w:tc>
          <w:tcPr>
            <w:tcW w:w="695" w:type="dxa"/>
            <w:tcBorders>
              <w:left w:val="single" w:sz="4" w:space="0" w:color="000001"/>
              <w:bottom w:val="single" w:sz="4" w:space="0" w:color="000001"/>
              <w:right w:val="single" w:sz="4" w:space="0" w:color="000001"/>
            </w:tcBorders>
            <w:shd w:color="auto" w:fill="auto" w:val="clear"/>
            <w:tcMar>
              <w:top w:w="55" w:type="dxa"/>
              <w:left w:w="30" w:type="dxa"/>
              <w:bottom w:w="55" w:type="dxa"/>
              <w:right w:w="55" w:type="dxa"/>
            </w:tcMar>
            <w:vAlign w:val="center"/>
          </w:tcPr>
          <w:p>
            <w:pPr>
              <w:pStyle w:val="Normal"/>
              <w:widowControl w:val="false"/>
              <w:suppressAutoHyphens w:val="true"/>
              <w:bidi w:val="0"/>
              <w:spacing w:lineRule="auto" w:line="276" w:before="0" w:after="0"/>
              <w:ind w:left="0" w:right="0" w:hanging="0"/>
              <w:jc w:val="center"/>
              <w:rPr>
                <w:rFonts w:ascii="Times New Roman" w:hAnsi="Times New Roman"/>
                <w:szCs w:val="20"/>
              </w:rPr>
            </w:pPr>
            <w:r>
              <w:rPr>
                <w:rFonts w:ascii="Times New Roman" w:hAnsi="Times New Roman"/>
                <w:szCs w:val="20"/>
              </w:rPr>
              <w:t>54</w:t>
            </w:r>
          </w:p>
        </w:tc>
        <w:tc>
          <w:tcPr>
            <w:tcW w:w="1531" w:type="dxa"/>
            <w:tcBorders>
              <w:left w:val="single" w:sz="4" w:space="0" w:color="000001"/>
              <w:bottom w:val="single" w:sz="4" w:space="0" w:color="000001"/>
              <w:right w:val="single" w:sz="4" w:space="0" w:color="000001"/>
            </w:tcBorders>
            <w:shd w:color="auto" w:fill="auto" w:val="clear"/>
            <w:tcMar>
              <w:top w:w="55" w:type="dxa"/>
              <w:left w:w="30" w:type="dxa"/>
              <w:bottom w:w="55" w:type="dxa"/>
              <w:right w:w="55" w:type="dxa"/>
            </w:tcMar>
            <w:vAlign w:val="center"/>
          </w:tcPr>
          <w:p>
            <w:pPr>
              <w:pStyle w:val="Standard"/>
              <w:widowControl w:val="false"/>
              <w:jc w:val="center"/>
              <w:rPr>
                <w:rFonts w:ascii="Times New Roman" w:hAnsi="Times New Roman"/>
                <w:szCs w:val="20"/>
              </w:rPr>
            </w:pPr>
            <w:r>
              <w:rPr>
                <w:rStyle w:val="Nfaseforte"/>
                <w:rFonts w:cs="Times New Roman" w:ascii="Times New Roman" w:hAnsi="Times New Roman"/>
                <w:b w:val="false"/>
                <w:bCs w:val="false"/>
                <w:szCs w:val="20"/>
              </w:rPr>
              <w:t>R$ 108,43</w:t>
            </w:r>
          </w:p>
        </w:tc>
        <w:tc>
          <w:tcPr>
            <w:tcW w:w="1354" w:type="dxa"/>
            <w:tcBorders>
              <w:left w:val="single" w:sz="4" w:space="0" w:color="000001"/>
              <w:bottom w:val="single" w:sz="4" w:space="0" w:color="000001"/>
              <w:right w:val="single" w:sz="4" w:space="0" w:color="000001"/>
            </w:tcBorders>
            <w:shd w:color="auto" w:fill="auto" w:val="clear"/>
            <w:tcMar>
              <w:top w:w="55" w:type="dxa"/>
              <w:left w:w="30" w:type="dxa"/>
              <w:bottom w:w="55" w:type="dxa"/>
              <w:right w:w="55" w:type="dxa"/>
            </w:tcMar>
            <w:vAlign w:val="center"/>
          </w:tcPr>
          <w:p>
            <w:pPr>
              <w:pStyle w:val="Standard"/>
              <w:widowControl w:val="false"/>
              <w:spacing w:before="0" w:after="160"/>
              <w:jc w:val="center"/>
              <w:rPr>
                <w:rFonts w:ascii="Times New Roman" w:hAnsi="Times New Roman"/>
                <w:szCs w:val="20"/>
              </w:rPr>
            </w:pPr>
            <w:r>
              <w:rPr>
                <w:rStyle w:val="Nfaseforte"/>
                <w:rFonts w:cs="Times New Roman" w:ascii="Times New Roman" w:hAnsi="Times New Roman"/>
                <w:b w:val="false"/>
                <w:bCs w:val="false"/>
                <w:szCs w:val="20"/>
              </w:rPr>
              <w:t>R$ 5.855,22</w:t>
            </w:r>
          </w:p>
        </w:tc>
      </w:tr>
    </w:tbl>
    <w:p>
      <w:pPr>
        <w:pStyle w:val="PADRO"/>
        <w:widowControl/>
        <w:numPr>
          <w:ilvl w:val="1"/>
          <w:numId w:val="1"/>
        </w:numPr>
        <w:spacing w:before="120" w:after="120"/>
        <w:rPr>
          <w:color w:val="000000"/>
        </w:rPr>
      </w:pPr>
      <w:r>
        <w:rPr>
          <w:rFonts w:cs="Arial" w:ascii="Arial" w:hAnsi="Arial"/>
          <w:color w:val="000000"/>
          <w:szCs w:val="20"/>
        </w:rPr>
        <w:t xml:space="preserve">O critério de julgamento adotado será o </w:t>
      </w:r>
      <w:r>
        <w:rPr>
          <w:rFonts w:cs="Arial" w:ascii="Arial" w:hAnsi="Arial"/>
          <w:iCs/>
          <w:color w:val="000000"/>
          <w:szCs w:val="20"/>
        </w:rPr>
        <w:t xml:space="preserve">menor preço, </w:t>
      </w:r>
      <w:r>
        <w:rPr>
          <w:rFonts w:cs="Arial" w:ascii="Arial" w:hAnsi="Arial"/>
          <w:color w:val="000000"/>
          <w:szCs w:val="20"/>
        </w:rPr>
        <w:t>observadas as exigências contidas neste Aviso de Contratação Direta e seus Anexos quanto às especificações do objeto.</w:t>
      </w:r>
    </w:p>
    <w:p>
      <w:pPr>
        <w:pStyle w:val="PADRO"/>
        <w:widowControl/>
        <w:numPr>
          <w:ilvl w:val="0"/>
          <w:numId w:val="1"/>
        </w:numPr>
        <w:spacing w:before="120" w:after="120"/>
        <w:rPr>
          <w:rFonts w:ascii="Arial" w:hAnsi="Arial" w:cs="Arial"/>
          <w:b/>
          <w:b/>
        </w:rPr>
      </w:pPr>
      <w:r>
        <w:rPr>
          <w:rFonts w:cs="Arial" w:ascii="Arial" w:hAnsi="Arial"/>
          <w:b/>
          <w:color w:val="000000"/>
        </w:rPr>
        <w:t>PARTICIPAÇÃO NA DISPENSA ELETRÔNICA.</w:t>
      </w:r>
    </w:p>
    <w:p>
      <w:pPr>
        <w:pStyle w:val="Normal"/>
        <w:snapToGrid w:val="false"/>
        <w:spacing w:lineRule="auto" w:line="276" w:before="120" w:after="120"/>
        <w:ind w:left="425" w:hanging="0"/>
        <w:jc w:val="both"/>
        <w:rPr>
          <w:color w:val="000000"/>
        </w:rPr>
      </w:pPr>
      <w:r>
        <w:rPr>
          <w:rFonts w:cs="Arial"/>
          <w:color w:val="000000"/>
          <w:szCs w:val="20"/>
        </w:rPr>
        <w:t xml:space="preserve">2.1. A participação na presente dispensa eletrônica se dará mediante </w:t>
      </w:r>
      <w:r>
        <w:rPr>
          <w:rFonts w:cs="Arial"/>
          <w:bCs/>
          <w:color w:val="000000"/>
          <w:szCs w:val="20"/>
        </w:rPr>
        <w:t xml:space="preserve">Sistema de Dispensa Eletrônica </w:t>
      </w:r>
      <w:r>
        <w:rPr>
          <w:rFonts w:cs="Arial"/>
          <w:color w:val="000000"/>
          <w:szCs w:val="20"/>
        </w:rPr>
        <w:t xml:space="preserve">integrante do Sistema de Compras do Governo Federal – Comprasnet 4.0, disponível no </w:t>
      </w:r>
      <w:r>
        <w:rPr>
          <w:rFonts w:cs="Arial"/>
          <w:bCs/>
          <w:color w:val="000000"/>
          <w:szCs w:val="20"/>
        </w:rPr>
        <w:t xml:space="preserve">endereço eletrônico do </w:t>
      </w:r>
      <w:r>
        <w:rPr>
          <w:color w:val="000000"/>
        </w:rPr>
        <w:t>Portal Nacional de Contratações Públicas – PNCP.</w:t>
      </w:r>
    </w:p>
    <w:p>
      <w:pPr>
        <w:pStyle w:val="Normal"/>
        <w:numPr>
          <w:ilvl w:val="2"/>
          <w:numId w:val="1"/>
        </w:numPr>
        <w:snapToGrid w:val="false"/>
        <w:spacing w:lineRule="auto" w:line="276" w:before="120" w:after="120"/>
        <w:jc w:val="both"/>
        <w:rPr>
          <w:rFonts w:cs="Arial"/>
          <w:szCs w:val="20"/>
        </w:rPr>
      </w:pPr>
      <w:r>
        <w:rPr>
          <w:rFonts w:cs="Arial"/>
          <w:color w:val="000000"/>
          <w:szCs w:val="20"/>
        </w:rPr>
        <w:t>Os fornecedores deverão atender aos procedimentos previstos no Manual do Sistema de Dispensa Eletrônica, disponível no Portal de Compras do Governo Federal, para acesso ao sistema e operacionalização.</w:t>
      </w:r>
    </w:p>
    <w:p>
      <w:pPr>
        <w:pStyle w:val="Normal"/>
        <w:numPr>
          <w:ilvl w:val="2"/>
          <w:numId w:val="1"/>
        </w:numPr>
        <w:snapToGrid w:val="false"/>
        <w:spacing w:lineRule="auto" w:line="276" w:before="120" w:after="120"/>
        <w:jc w:val="both"/>
        <w:rPr>
          <w:rFonts w:cs="Arial"/>
          <w:szCs w:val="20"/>
        </w:rPr>
      </w:pPr>
      <w:r>
        <w:rPr>
          <w:rFonts w:cs="Arial"/>
          <w:color w:val="000000"/>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Não poderão participar desta dispensa os fornecedores:</w:t>
      </w:r>
    </w:p>
    <w:p>
      <w:pPr>
        <w:pStyle w:val="Normal"/>
        <w:numPr>
          <w:ilvl w:val="2"/>
          <w:numId w:val="1"/>
        </w:numPr>
        <w:spacing w:lineRule="auto" w:line="276" w:before="120" w:after="120"/>
        <w:jc w:val="both"/>
        <w:rPr>
          <w:rFonts w:cs="Arial"/>
          <w:color w:val="000000"/>
          <w:szCs w:val="20"/>
        </w:rPr>
      </w:pPr>
      <w:r>
        <w:rPr>
          <w:rFonts w:cs="Arial"/>
          <w:color w:val="000000"/>
          <w:szCs w:val="20"/>
        </w:rPr>
        <w:t xml:space="preserve"> </w:t>
      </w:r>
      <w:r>
        <w:rPr>
          <w:rFonts w:cs="Arial"/>
          <w:color w:val="000000"/>
          <w:szCs w:val="20"/>
        </w:rPr>
        <w:t>que não atendam às condições deste Aviso de Contratação Direta e seu(s) anexo(s);</w:t>
      </w:r>
    </w:p>
    <w:p>
      <w:pPr>
        <w:pStyle w:val="Normal"/>
        <w:numPr>
          <w:ilvl w:val="2"/>
          <w:numId w:val="1"/>
        </w:numPr>
        <w:spacing w:lineRule="auto" w:line="276" w:before="120" w:after="120"/>
        <w:jc w:val="both"/>
        <w:rPr>
          <w:rFonts w:cs="Arial"/>
          <w:color w:val="000000"/>
          <w:szCs w:val="20"/>
        </w:rPr>
      </w:pPr>
      <w:r>
        <w:rPr>
          <w:rFonts w:cs="Arial"/>
          <w:color w:val="000000"/>
          <w:szCs w:val="20"/>
        </w:rPr>
        <w:t xml:space="preserve"> </w:t>
      </w:r>
      <w:r>
        <w:rPr>
          <w:rFonts w:cs="Arial"/>
          <w:color w:val="000000"/>
          <w:szCs w:val="20"/>
        </w:rPr>
        <w:t>estrangeiros que não tenham representação legal no Brasil com poderes expressos para receber citação e responder administrativa ou judicialmente;</w:t>
      </w:r>
    </w:p>
    <w:p>
      <w:pPr>
        <w:pStyle w:val="Normal"/>
        <w:numPr>
          <w:ilvl w:val="2"/>
          <w:numId w:val="1"/>
        </w:numPr>
        <w:spacing w:lineRule="auto" w:line="276" w:before="120" w:after="120"/>
        <w:jc w:val="both"/>
        <w:rPr>
          <w:rFonts w:cs="Arial"/>
          <w:color w:val="000000"/>
          <w:szCs w:val="20"/>
        </w:rPr>
      </w:pPr>
      <w:r>
        <w:rPr>
          <w:rFonts w:cs="Arial"/>
          <w:color w:val="000000"/>
          <w:szCs w:val="20"/>
        </w:rPr>
        <w:t xml:space="preserve"> </w:t>
      </w:r>
      <w:r>
        <w:rPr>
          <w:rFonts w:cs="Arial"/>
          <w:color w:val="000000"/>
          <w:szCs w:val="20"/>
        </w:rPr>
        <w:t>que se enquadrem nas seguintes vedações:</w:t>
      </w:r>
    </w:p>
    <w:p>
      <w:pPr>
        <w:pStyle w:val="Normal"/>
        <w:numPr>
          <w:ilvl w:val="3"/>
          <w:numId w:val="2"/>
        </w:numPr>
        <w:spacing w:lineRule="auto" w:line="276" w:before="120" w:after="120"/>
        <w:jc w:val="both"/>
        <w:rPr>
          <w:rFonts w:cs="Arial"/>
          <w:color w:val="000000"/>
          <w:szCs w:val="20"/>
        </w:rPr>
      </w:pPr>
      <w:r>
        <w:rPr>
          <w:rFonts w:cs="Arial"/>
          <w:color w:val="000000"/>
          <w:szCs w:val="20"/>
        </w:rPr>
        <w:t>autor do anteprojeto, do projeto básico ou do projeto executivo, pessoa física ou jurídica, quando a contratação versar sobre obra, serviços ou fornecimento de bens a ele relacionados;</w:t>
      </w:r>
    </w:p>
    <w:p>
      <w:pPr>
        <w:pStyle w:val="Normal"/>
        <w:numPr>
          <w:ilvl w:val="3"/>
          <w:numId w:val="2"/>
        </w:numPr>
        <w:spacing w:lineRule="auto" w:line="276" w:before="120" w:after="120"/>
        <w:jc w:val="both"/>
        <w:rPr>
          <w:rFonts w:cs="Arial"/>
          <w:color w:val="000000"/>
          <w:szCs w:val="20"/>
        </w:rPr>
      </w:pPr>
      <w:r>
        <w:rPr>
          <w:rFonts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2"/>
        </w:numPr>
        <w:spacing w:lineRule="auto" w:line="276" w:before="120" w:after="120"/>
        <w:jc w:val="both"/>
        <w:rPr>
          <w:rFonts w:cs="Arial"/>
          <w:color w:val="000000"/>
          <w:szCs w:val="20"/>
        </w:rPr>
      </w:pPr>
      <w:r>
        <w:rPr>
          <w:rFonts w:cs="Arial"/>
          <w:color w:val="000000"/>
          <w:szCs w:val="20"/>
        </w:rPr>
        <w:t>pessoa física ou jurídica que se encontre, ao tempo da contratação, impossibilitada de contratar em decorrência de sanção que lhe foi imposta;</w:t>
      </w:r>
    </w:p>
    <w:p>
      <w:pPr>
        <w:pStyle w:val="Normal"/>
        <w:numPr>
          <w:ilvl w:val="3"/>
          <w:numId w:val="2"/>
        </w:numPr>
        <w:spacing w:lineRule="auto" w:line="276" w:before="120" w:after="120"/>
        <w:jc w:val="both"/>
        <w:rPr>
          <w:rFonts w:cs="Arial"/>
          <w:color w:val="000000"/>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2"/>
        </w:numPr>
        <w:spacing w:lineRule="auto" w:line="276" w:before="120" w:after="120"/>
        <w:jc w:val="both"/>
        <w:rPr/>
      </w:pPr>
      <w:r>
        <w:rPr>
          <w:rFonts w:cs="Arial"/>
          <w:color w:val="000000"/>
          <w:szCs w:val="20"/>
        </w:rPr>
        <w:t>empresas controladoras, controladas ou coligadas, nos termos da </w:t>
      </w:r>
      <w:hyperlink r:id="rId3">
        <w:r>
          <w:rPr>
            <w:rStyle w:val="LinkdaInternet"/>
            <w:rFonts w:eastAsia="Calibri" w:cs="Arial"/>
            <w:color w:val="000000"/>
            <w:szCs w:val="20"/>
          </w:rPr>
          <w:t>Lei nº 6.404, de 15 de dezembro de 1976</w:t>
        </w:r>
      </w:hyperlink>
      <w:r>
        <w:rPr>
          <w:rFonts w:cs="Arial"/>
          <w:color w:val="000000"/>
          <w:szCs w:val="20"/>
        </w:rPr>
        <w:t>, concorrendo entre si;</w:t>
      </w:r>
    </w:p>
    <w:p>
      <w:pPr>
        <w:pStyle w:val="Normal"/>
        <w:numPr>
          <w:ilvl w:val="3"/>
          <w:numId w:val="2"/>
        </w:numPr>
        <w:spacing w:lineRule="auto" w:line="276" w:before="120" w:after="120"/>
        <w:jc w:val="both"/>
        <w:rPr>
          <w:rFonts w:cs="Arial"/>
          <w:color w:val="000000"/>
          <w:szCs w:val="20"/>
        </w:rPr>
      </w:pPr>
      <w:r>
        <w:rPr>
          <w:rFonts w:cs="Arial"/>
          <w:color w:val="00000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120" w:after="120"/>
        <w:jc w:val="both"/>
        <w:rPr>
          <w:rFonts w:cs="Arial"/>
          <w:color w:val="000000"/>
          <w:szCs w:val="20"/>
        </w:rPr>
      </w:pPr>
      <w:r>
        <w:rPr>
          <w:rFonts w:cs="Arial"/>
          <w:color w:val="000000"/>
          <w:szCs w:val="20"/>
        </w:rPr>
        <w:t>Equiparam-se aos autores do projeto as empresas integrantes do mesmo grupo econômico;</w:t>
      </w:r>
    </w:p>
    <w:p>
      <w:pPr>
        <w:pStyle w:val="Normal"/>
        <w:numPr>
          <w:ilvl w:val="3"/>
          <w:numId w:val="1"/>
        </w:numPr>
        <w:spacing w:lineRule="auto" w:line="276" w:before="120" w:after="120"/>
        <w:jc w:val="both"/>
        <w:rPr>
          <w:rFonts w:cs="Arial"/>
          <w:color w:val="000000"/>
          <w:szCs w:val="20"/>
        </w:rPr>
      </w:pPr>
      <w:r>
        <w:rPr>
          <w:rFonts w:cs="Arial"/>
          <w:color w:val="000000"/>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1"/>
        </w:numPr>
        <w:spacing w:lineRule="auto" w:line="276" w:before="120" w:after="120"/>
        <w:jc w:val="both"/>
        <w:rPr>
          <w:rFonts w:cs="Arial"/>
          <w:color w:val="000000"/>
          <w:szCs w:val="20"/>
        </w:rPr>
      </w:pPr>
      <w:r>
        <w:rPr>
          <w:rFonts w:cs="Arial"/>
          <w:color w:val="000000"/>
          <w:szCs w:val="20"/>
        </w:rPr>
        <w:t xml:space="preserve"> </w:t>
      </w:r>
      <w:r>
        <w:rPr>
          <w:rFonts w:cs="Arial"/>
          <w:color w:val="000000"/>
          <w:szCs w:val="20"/>
        </w:rPr>
        <w:t>organizações da Sociedade Civil de Interesse Público - OSCIP, atuando nessa condição (Acórdão nº 746/2014-TCU - Plenário); e</w:t>
      </w:r>
    </w:p>
    <w:p>
      <w:pPr>
        <w:pStyle w:val="Normal"/>
        <w:numPr>
          <w:ilvl w:val="2"/>
          <w:numId w:val="1"/>
        </w:numPr>
        <w:spacing w:lineRule="auto" w:line="276" w:before="120" w:after="120"/>
        <w:jc w:val="both"/>
        <w:rPr>
          <w:color w:val="000000"/>
        </w:rPr>
      </w:pPr>
      <w:r>
        <w:rPr>
          <w:rFonts w:cs="Arial"/>
          <w:color w:val="000000"/>
          <w:szCs w:val="20"/>
        </w:rPr>
        <w:t xml:space="preserve"> </w:t>
      </w:r>
      <w:r>
        <w:rPr>
          <w:rFonts w:cs="Arial"/>
          <w:color w:val="000000"/>
          <w:szCs w:val="20"/>
        </w:rPr>
        <w:t>sociedades cooperativas</w:t>
      </w:r>
      <w:bookmarkStart w:id="1" w:name="_Hlk519667815"/>
      <w:bookmarkEnd w:id="1"/>
      <w:r>
        <w:rPr>
          <w:rFonts w:cs="Arial"/>
          <w:i/>
          <w:color w:val="000000"/>
          <w:szCs w:val="20"/>
        </w:rPr>
        <w:t>.</w:t>
      </w:r>
    </w:p>
    <w:p>
      <w:pPr>
        <w:pStyle w:val="Normal"/>
        <w:numPr>
          <w:ilvl w:val="0"/>
          <w:numId w:val="0"/>
        </w:numPr>
        <w:spacing w:lineRule="auto" w:line="276" w:before="120" w:after="120"/>
        <w:ind w:left="1440" w:hanging="0"/>
        <w:jc w:val="both"/>
        <w:rPr>
          <w:color w:val="000000"/>
        </w:rPr>
      </w:pPr>
      <w:r>
        <w:rPr>
          <w:color w:val="000000"/>
        </w:rPr>
      </w:r>
    </w:p>
    <w:p>
      <w:pPr>
        <w:pStyle w:val="PADRO"/>
        <w:widowControl/>
        <w:numPr>
          <w:ilvl w:val="0"/>
          <w:numId w:val="1"/>
        </w:numPr>
        <w:spacing w:before="120" w:after="120"/>
        <w:rPr>
          <w:rFonts w:ascii="Arial" w:hAnsi="Arial" w:cs="Arial"/>
          <w:b/>
          <w:b/>
        </w:rPr>
      </w:pPr>
      <w:r>
        <w:rPr>
          <w:rFonts w:cs="Arial" w:ascii="Arial" w:hAnsi="Arial"/>
          <w:b/>
          <w:color w:val="000000"/>
        </w:rPr>
        <w:t>INGRESSO NA DISPENSA ELETRÔNICA E CADASTRAMENTO DA PROPOSTA INICIAL</w:t>
      </w:r>
    </w:p>
    <w:p>
      <w:pPr>
        <w:pStyle w:val="Normal"/>
        <w:numPr>
          <w:ilvl w:val="1"/>
          <w:numId w:val="1"/>
        </w:numPr>
        <w:snapToGrid w:val="false"/>
        <w:spacing w:lineRule="auto" w:line="276" w:before="120" w:after="120"/>
        <w:ind w:left="425" w:hanging="0"/>
        <w:jc w:val="both"/>
        <w:rPr>
          <w:rFonts w:cs="Arial"/>
          <w:color w:val="000000"/>
          <w:szCs w:val="20"/>
        </w:rPr>
      </w:pPr>
      <w:r>
        <w:rPr>
          <w:rFonts w:cs="Arial"/>
          <w:color w:val="000000"/>
          <w:szCs w:val="20"/>
        </w:rPr>
        <w:t>O ingresso do fornecedor na disputa da dispensa eletrônica se dará com o cadastramento de sua proposta inicial, na forma deste item.</w:t>
      </w:r>
    </w:p>
    <w:p>
      <w:pPr>
        <w:pStyle w:val="Normal"/>
        <w:numPr>
          <w:ilvl w:val="1"/>
          <w:numId w:val="1"/>
        </w:numPr>
        <w:snapToGrid w:val="false"/>
        <w:spacing w:lineRule="auto" w:line="276" w:before="120" w:after="120"/>
        <w:ind w:left="425" w:hanging="0"/>
        <w:jc w:val="both"/>
        <w:rPr>
          <w:rFonts w:cs="Arial"/>
          <w:color w:val="000000"/>
          <w:szCs w:val="20"/>
        </w:rPr>
      </w:pPr>
      <w:r>
        <w:rPr>
          <w:rFonts w:cs="Arial"/>
          <w:color w:val="000000"/>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1"/>
        </w:numPr>
        <w:spacing w:lineRule="auto" w:line="276" w:before="120" w:after="120"/>
        <w:jc w:val="both"/>
        <w:rPr>
          <w:rFonts w:cs="Arial"/>
          <w:szCs w:val="20"/>
        </w:rPr>
      </w:pPr>
      <w:r>
        <w:rPr>
          <w:rFonts w:cs="Arial"/>
          <w:color w:val="000000"/>
          <w:szCs w:val="20"/>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1"/>
        </w:numPr>
        <w:spacing w:lineRule="auto" w:line="276" w:before="120" w:after="120"/>
        <w:ind w:left="425" w:hanging="0"/>
        <w:jc w:val="both"/>
        <w:rPr>
          <w:color w:val="000000"/>
        </w:rPr>
      </w:pPr>
      <w:r>
        <w:rPr>
          <w:rFonts w:cs="Arial"/>
          <w:color w:val="000000"/>
          <w:szCs w:val="20"/>
        </w:rPr>
        <w:t>Todas as especificações do objeto contidas na proposta, em especial o preço, vinculam a Contratada.</w:t>
      </w:r>
    </w:p>
    <w:p>
      <w:pPr>
        <w:pStyle w:val="Normal"/>
        <w:numPr>
          <w:ilvl w:val="1"/>
          <w:numId w:val="1"/>
        </w:numPr>
        <w:spacing w:lineRule="auto" w:line="276" w:before="120" w:after="120"/>
        <w:ind w:left="425" w:hanging="0"/>
        <w:jc w:val="both"/>
        <w:rPr>
          <w:rFonts w:cs="Arial"/>
          <w:szCs w:val="20"/>
        </w:rPr>
      </w:pPr>
      <w:r>
        <w:rPr>
          <w:rFonts w:cs="Arial"/>
          <w:color w:val="000000"/>
          <w:szCs w:val="20"/>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1"/>
        </w:numPr>
        <w:spacing w:lineRule="auto" w:line="276" w:before="120" w:after="120"/>
        <w:jc w:val="both"/>
        <w:rPr>
          <w:rFonts w:cs="Arial"/>
          <w:szCs w:val="20"/>
        </w:rPr>
      </w:pPr>
      <w:r>
        <w:rPr>
          <w:rFonts w:cs="Arial"/>
          <w:color w:val="000000"/>
          <w:szCs w:val="20"/>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spacing w:lineRule="auto" w:line="276" w:before="120" w:after="120"/>
        <w:ind w:left="425" w:hanging="0"/>
        <w:jc w:val="both"/>
        <w:rPr>
          <w:rFonts w:cs="Arial"/>
          <w:szCs w:val="20"/>
        </w:rPr>
      </w:pPr>
      <w:r>
        <w:rPr>
          <w:rFonts w:cs="Arial"/>
          <w:color w:val="000000"/>
          <w:szCs w:val="20"/>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1"/>
        </w:numPr>
        <w:spacing w:lineRule="auto" w:line="276" w:before="120" w:after="120"/>
        <w:ind w:left="425" w:hanging="0"/>
        <w:jc w:val="both"/>
        <w:rPr>
          <w:rFonts w:cs="Arial"/>
          <w:szCs w:val="20"/>
        </w:rPr>
      </w:pPr>
      <w:r>
        <w:rPr>
          <w:rFonts w:cs="Arial"/>
          <w:color w:val="000000"/>
          <w:szCs w:val="20"/>
        </w:rPr>
        <w:t>Independentemente do percentual de tributo inserido na planilha, no pagamento serão retidos na fonte os percentuais estabelecidos na legislação vigente.</w:t>
      </w:r>
    </w:p>
    <w:p>
      <w:pPr>
        <w:pStyle w:val="Normal"/>
        <w:numPr>
          <w:ilvl w:val="1"/>
          <w:numId w:val="1"/>
        </w:numPr>
        <w:spacing w:lineRule="auto" w:line="276" w:before="120" w:after="120"/>
        <w:ind w:left="425" w:hanging="0"/>
        <w:jc w:val="both"/>
        <w:rPr>
          <w:color w:val="000000"/>
        </w:rPr>
      </w:pPr>
      <w:r>
        <w:rPr>
          <w:rFonts w:cs="Arial"/>
          <w:color w:val="000000"/>
          <w:szCs w:val="20"/>
        </w:rPr>
        <w:t xml:space="preserve">A apresentação das propostas implica obrigatoriedade do cumprimento das disposições nelas contidas, em conformidade com o que dispõe o </w:t>
      </w:r>
      <w:r>
        <w:rPr>
          <w:rFonts w:cs="Arial"/>
          <w:b/>
          <w:color w:val="000000"/>
          <w:szCs w:val="20"/>
        </w:rPr>
        <w:t>Termo de Referência</w:t>
      </w:r>
      <w:r>
        <w:rPr>
          <w:rFonts w:cs="Arial"/>
          <w:i/>
          <w:color w:val="000000"/>
          <w:szCs w:val="20"/>
        </w:rPr>
        <w:t xml:space="preserve">, </w:t>
      </w:r>
      <w:r>
        <w:rPr>
          <w:rFonts w:cs="Arial"/>
          <w:color w:val="000000"/>
          <w:szCs w:val="20"/>
        </w:rPr>
        <w:t>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spacing w:lineRule="auto" w:line="276" w:before="120" w:after="120"/>
        <w:ind w:left="425" w:hanging="0"/>
        <w:jc w:val="both"/>
        <w:rPr>
          <w:color w:val="000000"/>
        </w:rPr>
      </w:pPr>
      <w:r>
        <w:rPr>
          <w:rFonts w:cs="Arial"/>
          <w:color w:val="000000"/>
          <w:szCs w:val="20"/>
        </w:rPr>
        <w:t xml:space="preserve">Uma vez enviada a proposta no sistema, os fornecedores </w:t>
      </w:r>
      <w:r>
        <w:rPr>
          <w:rFonts w:cs="Arial"/>
          <w:b/>
          <w:bCs/>
          <w:color w:val="000000"/>
          <w:szCs w:val="20"/>
        </w:rPr>
        <w:t xml:space="preserve">NÃO </w:t>
      </w:r>
      <w:r>
        <w:rPr>
          <w:rFonts w:cs="Arial"/>
          <w:color w:val="000000"/>
          <w:szCs w:val="20"/>
        </w:rPr>
        <w:t>poderão retirá-la, substituí-la ou modificá-la;</w:t>
      </w:r>
    </w:p>
    <w:p>
      <w:pPr>
        <w:pStyle w:val="Normal"/>
        <w:numPr>
          <w:ilvl w:val="1"/>
          <w:numId w:val="1"/>
        </w:numPr>
        <w:spacing w:lineRule="auto" w:line="276" w:before="120" w:after="120"/>
        <w:ind w:left="425" w:hanging="0"/>
        <w:jc w:val="both"/>
        <w:rPr>
          <w:color w:val="000000"/>
        </w:rPr>
      </w:pPr>
      <w:r>
        <w:rPr>
          <w:rFonts w:cs="Arial"/>
          <w:color w:val="000000"/>
          <w:szCs w:val="20"/>
        </w:rPr>
        <w:t>No cadastramento da proposta inicial, o fornecedor deverá, também,assinalar “sim” ou “não” em campo próprio do sistema eletrônico, às seguintes declarações:</w:t>
      </w:r>
    </w:p>
    <w:p>
      <w:pPr>
        <w:pStyle w:val="Normal"/>
        <w:numPr>
          <w:ilvl w:val="2"/>
          <w:numId w:val="1"/>
        </w:numPr>
        <w:spacing w:lineRule="auto" w:line="276" w:before="120" w:after="120"/>
        <w:jc w:val="both"/>
        <w:rPr>
          <w:rFonts w:cs="Arial"/>
          <w:color w:val="000000"/>
          <w:szCs w:val="20"/>
        </w:rPr>
      </w:pPr>
      <w:r>
        <w:rPr>
          <w:rFonts w:cs="Arial"/>
          <w:color w:val="000000"/>
          <w:szCs w:val="20"/>
        </w:rPr>
        <w:t>que inexistem fatos impeditivos para sua habilitação no certame, ciente da obrigatoriedade de declarar ocorrências posteriores;</w:t>
      </w:r>
    </w:p>
    <w:p>
      <w:pPr>
        <w:pStyle w:val="Normal"/>
        <w:numPr>
          <w:ilvl w:val="2"/>
          <w:numId w:val="1"/>
        </w:numPr>
        <w:spacing w:lineRule="auto" w:line="276" w:before="120" w:after="120"/>
        <w:jc w:val="both"/>
        <w:rPr>
          <w:rFonts w:cs="Arial"/>
          <w:color w:val="000000"/>
          <w:szCs w:val="20"/>
        </w:rPr>
      </w:pPr>
      <w:r>
        <w:rPr>
          <w:rFonts w:cs="Arial"/>
          <w:color w:val="000000"/>
          <w:szCs w:val="20"/>
        </w:rPr>
        <w:t>que cumpre os requisitos estabelecidos no artigo 3° da Lei Complementar nº 123, de 2006, estando apto a usufruir do tratamento favorecido estabelecido em seus arts. 42 a 49.</w:t>
      </w:r>
    </w:p>
    <w:p>
      <w:pPr>
        <w:pStyle w:val="Normal"/>
        <w:numPr>
          <w:ilvl w:val="2"/>
          <w:numId w:val="1"/>
        </w:numPr>
        <w:spacing w:lineRule="auto" w:line="276" w:before="120" w:after="120"/>
        <w:jc w:val="both"/>
        <w:rPr>
          <w:rFonts w:cs="Arial"/>
          <w:color w:val="000000"/>
          <w:szCs w:val="20"/>
        </w:rPr>
      </w:pPr>
      <w:r>
        <w:rPr>
          <w:rFonts w:cs="Arial"/>
          <w:color w:val="000000"/>
          <w:szCs w:val="20"/>
        </w:rPr>
        <w:t>que está ciente e concorda com as condições contidas no Aviso de Contratação Direta e seus anexos;</w:t>
      </w:r>
    </w:p>
    <w:p>
      <w:pPr>
        <w:pStyle w:val="Normal"/>
        <w:numPr>
          <w:ilvl w:val="2"/>
          <w:numId w:val="1"/>
        </w:numPr>
        <w:spacing w:lineRule="auto" w:line="276" w:before="120" w:after="120"/>
        <w:jc w:val="both"/>
        <w:rPr>
          <w:rFonts w:cs="Arial"/>
          <w:color w:val="000000"/>
          <w:szCs w:val="20"/>
        </w:rPr>
      </w:pPr>
      <w:r>
        <w:rPr>
          <w:rFonts w:cs="Arial"/>
          <w:color w:val="000000"/>
          <w:szCs w:val="20"/>
        </w:rPr>
        <w:t>que assume a responsabilidade pelas transações que forem efetuadas no sistema, assumindo como firmes e verdadeiras;</w:t>
      </w:r>
    </w:p>
    <w:p>
      <w:pPr>
        <w:pStyle w:val="Normal"/>
        <w:numPr>
          <w:ilvl w:val="2"/>
          <w:numId w:val="1"/>
        </w:numPr>
        <w:spacing w:lineRule="auto" w:line="276" w:before="120" w:after="120"/>
        <w:jc w:val="both"/>
        <w:rPr>
          <w:rFonts w:cs="Arial"/>
          <w:color w:val="000000"/>
          <w:szCs w:val="20"/>
        </w:rPr>
      </w:pPr>
      <w:r>
        <w:rPr>
          <w:rFonts w:cs="Arial"/>
          <w:color w:val="000000"/>
          <w:szCs w:val="20"/>
        </w:rPr>
        <w:t>que cumpre as exigências de reserva de cargos para pessoa com deficiência e para reabilitado da Previdência Social, de que trata o art. 93 da Lei nº 8.213/91.</w:t>
      </w:r>
    </w:p>
    <w:p>
      <w:pPr>
        <w:pStyle w:val="Normal"/>
        <w:numPr>
          <w:ilvl w:val="2"/>
          <w:numId w:val="1"/>
        </w:numPr>
        <w:spacing w:lineRule="auto" w:line="276" w:before="120" w:after="120"/>
        <w:jc w:val="both"/>
        <w:rPr>
          <w:rFonts w:cs="Arial"/>
          <w:color w:val="000000"/>
          <w:szCs w:val="20"/>
        </w:rPr>
      </w:pPr>
      <w:r>
        <w:rPr>
          <w:rFonts w:cs="Arial"/>
          <w:color w:val="000000"/>
          <w:szCs w:val="20"/>
        </w:rPr>
        <w:t>que não emprega menor de 18 anos em trabalho noturno, perigoso ou insalubre e não emprega menor de 16 anos, salvo menor, a partir de 14 anos, na condição de aprendiz, nos termos do artigo 7°, XXXIII, da Constituição;</w:t>
      </w:r>
    </w:p>
    <w:p>
      <w:pPr>
        <w:pStyle w:val="PADRO"/>
        <w:widowControl/>
        <w:numPr>
          <w:ilvl w:val="0"/>
          <w:numId w:val="1"/>
        </w:numPr>
        <w:spacing w:before="120" w:after="120"/>
        <w:rPr>
          <w:rFonts w:ascii="Arial" w:hAnsi="Arial" w:cs="Arial"/>
          <w:b/>
          <w:b/>
        </w:rPr>
      </w:pPr>
      <w:r>
        <w:rPr>
          <w:rFonts w:cs="Arial" w:ascii="Arial" w:hAnsi="Arial"/>
          <w:b/>
          <w:color w:val="000000"/>
        </w:rPr>
        <w:t>FASE DE LANCES</w:t>
      </w:r>
    </w:p>
    <w:p>
      <w:pPr>
        <w:pStyle w:val="ListParagraph"/>
        <w:numPr>
          <w:ilvl w:val="1"/>
          <w:numId w:val="1"/>
        </w:numPr>
        <w:spacing w:lineRule="auto" w:line="276" w:before="120" w:after="120"/>
        <w:contextualSpacing/>
        <w:jc w:val="both"/>
        <w:rPr>
          <w:color w:val="000000"/>
        </w:rPr>
      </w:pPr>
      <w:r>
        <w:rPr>
          <w:rFonts w:cs="Arial"/>
          <w:color w:val="000000"/>
          <w:szCs w:val="20"/>
          <w:lang w:eastAsia="en-US"/>
        </w:rPr>
        <w:t xml:space="preserve">A partir das 8:00h da data estabelecida neste Aviso de Contratação Direta, a sessão pública será automaticamente aberta pelo sistema para o envio de lances públicos e sucessivos, </w:t>
      </w:r>
      <w:r>
        <w:rPr>
          <w:rFonts w:cs="Arial"/>
          <w:bCs/>
          <w:color w:val="000000"/>
          <w:szCs w:val="20"/>
          <w:lang w:eastAsia="en-US"/>
        </w:rPr>
        <w:t>exclusivamente por meio do sistema eletrônico</w:t>
      </w:r>
      <w:r>
        <w:rPr>
          <w:rFonts w:cs="Arial"/>
          <w:color w:val="000000"/>
          <w:szCs w:val="20"/>
          <w:lang w:eastAsia="en-US"/>
        </w:rPr>
        <w:t>, sendo encerrado no horário de finalização de lances também já previsto neste aviso.</w:t>
      </w:r>
    </w:p>
    <w:p>
      <w:pPr>
        <w:pStyle w:val="ListParagraph"/>
        <w:numPr>
          <w:ilvl w:val="1"/>
          <w:numId w:val="1"/>
        </w:numPr>
        <w:spacing w:lineRule="auto" w:line="276" w:before="120" w:after="120"/>
        <w:contextualSpacing/>
        <w:jc w:val="both"/>
        <w:rPr>
          <w:rFonts w:cs="Arial"/>
          <w:color w:val="000000"/>
          <w:szCs w:val="20"/>
        </w:rPr>
      </w:pPr>
      <w:r>
        <w:rPr>
          <w:rFonts w:cs="Arial"/>
          <w:color w:val="000000"/>
          <w:szCs w:val="20"/>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120" w:after="120"/>
        <w:contextualSpacing/>
        <w:jc w:val="both"/>
        <w:rPr>
          <w:rFonts w:cs="Arial"/>
          <w:iCs/>
          <w:color w:val="000000"/>
          <w:szCs w:val="20"/>
        </w:rPr>
      </w:pPr>
      <w:r>
        <w:rPr>
          <w:rFonts w:cs="Arial"/>
          <w:iCs/>
          <w:color w:val="000000"/>
          <w:szCs w:val="20"/>
        </w:rPr>
        <w:t>O lance deverá ser ofertado pelo valor total do item.</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O fornecedor somente poderá oferecer valor inferior ou maior percentual de desconto em relação ao último lance por ele ofertado e registrado pelo sistema.</w:t>
      </w:r>
    </w:p>
    <w:p>
      <w:pPr>
        <w:pStyle w:val="ListParagraph"/>
        <w:numPr>
          <w:ilvl w:val="2"/>
          <w:numId w:val="1"/>
        </w:numPr>
        <w:spacing w:lineRule="auto" w:line="276" w:before="120" w:after="120"/>
        <w:contextualSpacing/>
        <w:jc w:val="both"/>
        <w:rPr>
          <w:rFonts w:cs="Arial"/>
          <w:color w:val="000000"/>
          <w:szCs w:val="20"/>
          <w:lang w:eastAsia="en-US"/>
        </w:rPr>
      </w:pPr>
      <w:r>
        <w:rPr>
          <w:rFonts w:cs="Arial"/>
          <w:color w:val="000000"/>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before="120" w:after="120"/>
        <w:contextualSpacing/>
        <w:jc w:val="both"/>
        <w:rPr>
          <w:rFonts w:cs="Arial"/>
          <w:szCs w:val="20"/>
        </w:rPr>
      </w:pPr>
      <w:r>
        <w:rPr>
          <w:rFonts w:cs="Arial"/>
          <w:color w:val="000000"/>
          <w:szCs w:val="20"/>
        </w:rPr>
        <w:t>O intervalo mínimo de diferença de valores ou percentuais entre os lances, que incidirá tanto em relação aos lances intermediários quanto em relação ao que cobrir a melhor oferta é de</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Havendo lances iguais ao menor já ofertado, prevalecerá aquele que for recebido e registrado primeiro no sistema.</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Caso o fornecedor não apresente lances, concorrerá com o valor de sua proposta.</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Durante o procedimento, os fornecedores serão informados, em tempo real, do valor do menor lance registrado, vedada a identificação do fornecedor.</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before="120" w:after="120"/>
        <w:contextualSpacing/>
        <w:jc w:val="both"/>
        <w:rPr>
          <w:rFonts w:cs="Arial"/>
          <w:color w:val="000000"/>
          <w:szCs w:val="20"/>
          <w:lang w:eastAsia="en-US"/>
        </w:rPr>
      </w:pPr>
      <w:r>
        <w:rPr>
          <w:rFonts w:cs="Arial"/>
          <w:color w:val="000000"/>
          <w:szCs w:val="20"/>
          <w:lang w:eastAsia="en-US"/>
        </w:rPr>
        <w:t>O encerramento da fase de lances ocorrerá de forma automática pontualmente no horário indicado, sem qualquer possibilidade de prorrogação e não havendo tempo aleatório ou mecanismo similar.</w:t>
      </w:r>
    </w:p>
    <w:p>
      <w:pPr>
        <w:pStyle w:val="PADRO"/>
        <w:widowControl/>
        <w:numPr>
          <w:ilvl w:val="0"/>
          <w:numId w:val="1"/>
        </w:numPr>
        <w:spacing w:before="120" w:after="120"/>
        <w:rPr>
          <w:rFonts w:ascii="Arial" w:hAnsi="Arial" w:cs="Arial"/>
          <w:b/>
          <w:b/>
        </w:rPr>
      </w:pPr>
      <w:r>
        <w:rPr>
          <w:rFonts w:cs="Arial" w:ascii="Arial" w:hAnsi="Arial"/>
          <w:b/>
          <w:color w:val="000000"/>
        </w:rPr>
        <w:t>JULGAMENTO DAS PROPOSTAS DE PREÇO</w:t>
      </w:r>
    </w:p>
    <w:p>
      <w:pPr>
        <w:pStyle w:val="ListParagraph"/>
        <w:numPr>
          <w:ilvl w:val="1"/>
          <w:numId w:val="1"/>
        </w:numPr>
        <w:spacing w:lineRule="auto" w:line="276" w:before="120" w:after="120"/>
        <w:contextualSpacing/>
        <w:jc w:val="both"/>
        <w:rPr>
          <w:rFonts w:cs="Arial"/>
        </w:rPr>
      </w:pPr>
      <w:r>
        <w:rPr>
          <w:rFonts w:cs="Arial"/>
          <w:color w:val="000000"/>
        </w:rPr>
        <w:t>Encerrada a fase de lances, será verificada a conformidade da proposta classificada em primeiro lugar quanto à adequação do objeto e à compatibilidade do preço em relação ao estipulado para a contratação.</w:t>
      </w:r>
    </w:p>
    <w:p>
      <w:pPr>
        <w:pStyle w:val="ListParagraph"/>
        <w:numPr>
          <w:ilvl w:val="1"/>
          <w:numId w:val="1"/>
        </w:numPr>
        <w:spacing w:lineRule="auto" w:line="276" w:before="120" w:after="120"/>
        <w:contextualSpacing/>
        <w:jc w:val="both"/>
        <w:rPr>
          <w:rFonts w:cs="Arial"/>
        </w:rPr>
      </w:pPr>
      <w:r>
        <w:rPr>
          <w:rFonts w:cs="Arial"/>
          <w:color w:val="000000"/>
        </w:rPr>
        <w:t>No caso de o preço da proposta vencedora estar acima do estimado pela Administração, poderá haver a negociação de condições mais vantajosas.</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Neste caso, será encaminhada contraproposta ao fornecedor que tenha apresentado o melhor preço, para que seja obtida melhor proposta com preço compatível ao estimado pela Administração.</w:t>
      </w:r>
    </w:p>
    <w:p>
      <w:pPr>
        <w:pStyle w:val="ListParagraph"/>
        <w:numPr>
          <w:ilvl w:val="2"/>
          <w:numId w:val="1"/>
        </w:numPr>
        <w:spacing w:lineRule="auto" w:line="276" w:before="120" w:after="120"/>
        <w:contextualSpacing/>
        <w:jc w:val="both"/>
        <w:rPr>
          <w:rFonts w:cs="Arial"/>
        </w:rPr>
      </w:pPr>
      <w:r>
        <w:rPr>
          <w:rFonts w:cs="Arial"/>
          <w:color w:val="00000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ListParagraph"/>
        <w:numPr>
          <w:ilvl w:val="2"/>
          <w:numId w:val="1"/>
        </w:numPr>
        <w:spacing w:lineRule="auto" w:line="276" w:before="120" w:after="120"/>
        <w:contextualSpacing/>
        <w:jc w:val="both"/>
        <w:rPr>
          <w:rFonts w:cs="Arial"/>
        </w:rPr>
      </w:pPr>
      <w:r>
        <w:rPr>
          <w:rFonts w:cs="Arial"/>
          <w:color w:val="000000"/>
        </w:rPr>
        <w:t>Em qualquer caso, concluída a negociação, o resultado será registrado na ata do procedimento da dispensa eletrônica.</w:t>
      </w:r>
    </w:p>
    <w:p>
      <w:pPr>
        <w:pStyle w:val="ListParagraph"/>
        <w:numPr>
          <w:ilvl w:val="1"/>
          <w:numId w:val="1"/>
        </w:numPr>
        <w:spacing w:lineRule="auto" w:line="276" w:before="120" w:after="120"/>
        <w:contextualSpacing/>
        <w:jc w:val="both"/>
        <w:rPr>
          <w:rFonts w:cs="Arial"/>
        </w:rPr>
      </w:pPr>
      <w:r>
        <w:rPr>
          <w:rFonts w:cs="Arial"/>
          <w:color w:val="000000"/>
        </w:rPr>
        <w:t>Estando o preço compatível, será solicitado o envio da proposta e, se necessário, de documentos complementares, adequada ao último lance.</w:t>
      </w:r>
    </w:p>
    <w:p>
      <w:pPr>
        <w:pStyle w:val="Normal"/>
        <w:numPr>
          <w:ilvl w:val="1"/>
          <w:numId w:val="1"/>
        </w:numPr>
        <w:spacing w:lineRule="auto" w:line="276" w:before="120" w:after="120"/>
        <w:jc w:val="both"/>
        <w:rPr>
          <w:color w:val="000000"/>
        </w:rPr>
      </w:pPr>
      <w:r>
        <w:rPr>
          <w:rFonts w:cs="Arial"/>
          <w:color w:val="000000"/>
          <w:szCs w:val="20"/>
        </w:rPr>
        <w:t>O prazo de validade da proposta não será inferior a 60 (sessenta) dias</w:t>
      </w:r>
      <w:r>
        <w:rPr>
          <w:rFonts w:cs="Arial"/>
          <w:b/>
          <w:bCs/>
          <w:color w:val="000000"/>
          <w:szCs w:val="20"/>
        </w:rPr>
        <w:t>,</w:t>
      </w:r>
      <w:r>
        <w:rPr>
          <w:rFonts w:cs="Arial"/>
          <w:color w:val="000000"/>
          <w:szCs w:val="20"/>
        </w:rPr>
        <w:t xml:space="preserve"> a contar da data de sua apresentação.</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 xml:space="preserve">Será desclassificada a proposta vencedora que: </w:t>
      </w:r>
    </w:p>
    <w:p>
      <w:pPr>
        <w:pStyle w:val="ListParagraph"/>
        <w:numPr>
          <w:ilvl w:val="2"/>
          <w:numId w:val="1"/>
        </w:numPr>
        <w:spacing w:lineRule="auto" w:line="276" w:before="120" w:after="120"/>
        <w:contextualSpacing/>
        <w:jc w:val="both"/>
        <w:rPr>
          <w:color w:val="000000"/>
        </w:rPr>
      </w:pPr>
      <w:r>
        <w:rPr>
          <w:rFonts w:cs="Arial"/>
          <w:color w:val="000000"/>
          <w:szCs w:val="20"/>
        </w:rPr>
        <w:t>contiver vícios insanáveis</w:t>
      </w:r>
      <w:r>
        <w:rPr>
          <w:rFonts w:cs="Arial"/>
          <w:iCs/>
          <w:color w:val="000000"/>
          <w:szCs w:val="20"/>
        </w:rPr>
        <w:t>;</w:t>
      </w:r>
    </w:p>
    <w:p>
      <w:pPr>
        <w:pStyle w:val="ListParagraph"/>
        <w:numPr>
          <w:ilvl w:val="2"/>
          <w:numId w:val="1"/>
        </w:numPr>
        <w:spacing w:lineRule="auto" w:line="276" w:before="120" w:after="120"/>
        <w:contextualSpacing/>
        <w:jc w:val="both"/>
        <w:rPr>
          <w:color w:val="000000"/>
        </w:rPr>
      </w:pPr>
      <w:r>
        <w:rPr>
          <w:rFonts w:cs="Arial"/>
          <w:color w:val="000000"/>
          <w:szCs w:val="20"/>
        </w:rPr>
        <w:t>não obedecer às especificações técnicas pormenorizadas neste aviso ou em seus anexos</w:t>
      </w:r>
      <w:r>
        <w:rPr>
          <w:rFonts w:cs="Arial"/>
          <w:iCs/>
          <w:color w:val="000000"/>
          <w:szCs w:val="20"/>
        </w:rPr>
        <w:t>;</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apresentar preços inexequíveis ou permanecerem acima do preço máximo definido para a contratação;</w:t>
      </w:r>
    </w:p>
    <w:p>
      <w:pPr>
        <w:pStyle w:val="ListParagraph"/>
        <w:numPr>
          <w:ilvl w:val="2"/>
          <w:numId w:val="1"/>
        </w:numPr>
        <w:spacing w:lineRule="auto" w:line="276" w:before="120" w:after="120"/>
        <w:contextualSpacing/>
        <w:jc w:val="both"/>
        <w:rPr>
          <w:color w:val="000000"/>
        </w:rPr>
      </w:pPr>
      <w:r>
        <w:rPr>
          <w:rFonts w:cs="Arial"/>
          <w:color w:val="000000"/>
          <w:szCs w:val="20"/>
        </w:rPr>
        <w:t>não tiverem sua exequibilidade demonstrada, quando exigido pela Administração</w:t>
      </w:r>
      <w:r>
        <w:rPr>
          <w:rFonts w:cs="Arial"/>
          <w:iCs/>
          <w:color w:val="000000"/>
          <w:szCs w:val="20"/>
        </w:rPr>
        <w:t>;</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apresentar desconformidade com quaisquer outras exigências deste aviso ou seus anexos, desde que insanável.</w:t>
      </w:r>
    </w:p>
    <w:p>
      <w:pPr>
        <w:pStyle w:val="ListParagraph"/>
        <w:numPr>
          <w:ilvl w:val="1"/>
          <w:numId w:val="1"/>
        </w:numPr>
        <w:spacing w:lineRule="auto" w:line="276" w:before="120" w:after="120"/>
        <w:contextualSpacing/>
        <w:jc w:val="both"/>
        <w:rPr>
          <w:color w:val="000000"/>
        </w:rPr>
      </w:pPr>
      <w:r>
        <w:rPr>
          <w:rFonts w:cs="Arial"/>
          <w:color w:val="000000"/>
          <w:szCs w:val="20"/>
          <w:lang w:eastAsia="en-US"/>
        </w:rPr>
        <w:t>Quando</w:t>
      </w:r>
      <w:r>
        <w:rPr>
          <w:rFonts w:cs="Arial"/>
          <w:color w:val="000000"/>
          <w:szCs w:val="20"/>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before="120" w:after="120"/>
        <w:contextualSpacing/>
        <w:jc w:val="both"/>
        <w:rPr>
          <w:rFonts w:cs="Arial"/>
          <w:szCs w:val="20"/>
        </w:rPr>
      </w:pPr>
      <w:r>
        <w:rPr>
          <w:rFonts w:cs="Arial"/>
          <w:color w:val="000000"/>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before="120" w:after="120"/>
        <w:contextualSpacing/>
        <w:jc w:val="both"/>
        <w:rPr>
          <w:rFonts w:cs="Arial"/>
          <w:szCs w:val="20"/>
        </w:rPr>
      </w:pPr>
      <w:r>
        <w:rPr>
          <w:rFonts w:cs="Arial"/>
          <w:color w:val="000000"/>
          <w:szCs w:val="20"/>
        </w:rPr>
        <w:t>apresentar um ou mais valores da planilha de custo que sejam inferiores àqueles fixados em instrumentos de caráter normativo obrigatório, tais como leis, medidas provisórias e convenções coletivas de trabalho vigentes.</w:t>
      </w:r>
    </w:p>
    <w:p>
      <w:pPr>
        <w:pStyle w:val="ListParagraph"/>
        <w:numPr>
          <w:ilvl w:val="1"/>
          <w:numId w:val="1"/>
        </w:numPr>
        <w:spacing w:lineRule="auto" w:line="276" w:before="120" w:after="120"/>
        <w:ind w:left="792" w:right="-15" w:hanging="432"/>
        <w:contextualSpacing/>
        <w:jc w:val="both"/>
        <w:rPr>
          <w:color w:val="000000"/>
        </w:rPr>
      </w:pPr>
      <w:r>
        <w:rPr>
          <w:rFonts w:cs="Arial"/>
          <w:color w:val="000000"/>
          <w:szCs w:val="20"/>
          <w:lang w:eastAsia="en-US"/>
        </w:rPr>
        <w:t xml:space="preserve">Se houver indícios de inexequibilidade da proposta de preço, ou em caso da necessidade de esclarecimentos </w:t>
      </w:r>
      <w:r>
        <w:rPr>
          <w:rFonts w:cs="Arial"/>
          <w:color w:val="000000"/>
          <w:szCs w:val="20"/>
        </w:rPr>
        <w:t>complementares</w:t>
      </w:r>
      <w:r>
        <w:rPr>
          <w:rFonts w:cs="Arial"/>
          <w:color w:val="000000"/>
          <w:szCs w:val="20"/>
          <w:lang w:eastAsia="en-US"/>
        </w:rPr>
        <w:t xml:space="preserve">, poderão ser efetuadas diligências, para que a empresa comprove a exequibilidade da proposta.  </w:t>
      </w:r>
    </w:p>
    <w:p>
      <w:pPr>
        <w:pStyle w:val="ListParagraph"/>
        <w:numPr>
          <w:ilvl w:val="1"/>
          <w:numId w:val="1"/>
        </w:numPr>
        <w:spacing w:lineRule="auto" w:line="276" w:before="120" w:after="120"/>
        <w:contextualSpacing/>
        <w:jc w:val="both"/>
        <w:rPr>
          <w:color w:val="000000"/>
        </w:rPr>
      </w:pPr>
      <w:r>
        <w:rPr>
          <w:rFonts w:cs="Arial"/>
          <w:color w:val="000000"/>
          <w:szCs w:val="20"/>
          <w:lang w:eastAsia="en-US"/>
        </w:rPr>
        <w:t xml:space="preserve">Erros no preenchimento da planilha não constituem motivo para a desclassificação da proposta. A planilha </w:t>
      </w:r>
      <w:r>
        <w:rPr>
          <w:rFonts w:cs="Arial"/>
          <w:color w:val="000000"/>
          <w:szCs w:val="20"/>
        </w:rPr>
        <w:t>poderá</w:t>
      </w:r>
      <w:r>
        <w:rPr>
          <w:rFonts w:cs="Arial"/>
          <w:color w:val="000000"/>
          <w:szCs w:val="20"/>
          <w:lang w:eastAsia="en-US"/>
        </w:rPr>
        <w:t xml:space="preserve"> ser ajustada pelo fornecedor, no prazo indicado pelo sistema, desde que não haja majoração do preço.</w:t>
      </w:r>
    </w:p>
    <w:p>
      <w:pPr>
        <w:pStyle w:val="ListParagraph"/>
        <w:numPr>
          <w:ilvl w:val="2"/>
          <w:numId w:val="1"/>
        </w:numPr>
        <w:spacing w:lineRule="auto" w:line="276" w:before="120" w:after="120"/>
        <w:contextualSpacing/>
        <w:jc w:val="both"/>
        <w:rPr>
          <w:rFonts w:cs="Arial"/>
          <w:color w:val="000000"/>
          <w:szCs w:val="20"/>
          <w:lang w:eastAsia="en-US"/>
        </w:rPr>
      </w:pPr>
      <w:r>
        <w:rPr>
          <w:rFonts w:cs="Arial"/>
          <w:color w:val="000000"/>
          <w:szCs w:val="20"/>
          <w:lang w:eastAsia="en-US"/>
        </w:rPr>
        <w:t>O ajuste de que trata este dispositivo se limita a sanar erros ou falhas que não alterem a substância das propostas;</w:t>
      </w:r>
    </w:p>
    <w:p>
      <w:pPr>
        <w:pStyle w:val="ListParagraph"/>
        <w:numPr>
          <w:ilvl w:val="2"/>
          <w:numId w:val="1"/>
        </w:numPr>
        <w:spacing w:lineRule="auto" w:line="276" w:before="120" w:after="120"/>
        <w:contextualSpacing/>
        <w:jc w:val="both"/>
        <w:rPr>
          <w:rFonts w:cs="Arial"/>
          <w:color w:val="000000"/>
          <w:szCs w:val="20"/>
          <w:lang w:eastAsia="en-US"/>
        </w:rPr>
      </w:pPr>
      <w:r>
        <w:rPr>
          <w:rFonts w:cs="Arial"/>
          <w:color w:val="000000"/>
          <w:szCs w:val="20"/>
          <w:lang w:eastAsia="en-US"/>
        </w:rPr>
        <w:t>Considera-se erro no preenchimento da planilha passível de correção a indicação de recolhimento de impostos e contribuições na forma do Simples Nacional, quando não cabível esse regime.</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Se a proposta ou lance vencedor for desclassificado, será examinada a proposta ou lance subsequente, e, assim sucessivamente, na ordem de classificação.</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Havendo necessidade, a sessão será suspensa, informando-se no “chat” a nova data e horário para a sua continuidade.</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Encerrada a análise quanto à aceitação da proposta, se iniciará a fase de habilitação, observado o disposto neste Aviso de Contratação Direta.</w:t>
      </w:r>
    </w:p>
    <w:p>
      <w:pPr>
        <w:pStyle w:val="PADRO"/>
        <w:widowControl/>
        <w:numPr>
          <w:ilvl w:val="0"/>
          <w:numId w:val="1"/>
        </w:numPr>
        <w:spacing w:before="120" w:after="120"/>
        <w:rPr>
          <w:rFonts w:ascii="Arial" w:hAnsi="Arial" w:cs="Arial"/>
          <w:b/>
          <w:b/>
        </w:rPr>
      </w:pPr>
      <w:r>
        <w:rPr>
          <w:rFonts w:cs="Arial" w:ascii="Arial" w:hAnsi="Arial"/>
          <w:b/>
          <w:color w:val="000000"/>
        </w:rPr>
        <w:t>HABILITAÇÃO</w:t>
      </w:r>
    </w:p>
    <w:p>
      <w:pPr>
        <w:pStyle w:val="ListParagraph"/>
        <w:numPr>
          <w:ilvl w:val="1"/>
          <w:numId w:val="1"/>
        </w:numPr>
        <w:spacing w:lineRule="auto" w:line="276" w:before="120" w:after="120"/>
        <w:ind w:left="792" w:hanging="574"/>
        <w:contextualSpacing/>
        <w:jc w:val="both"/>
        <w:rPr>
          <w:color w:val="000000"/>
        </w:rPr>
      </w:pPr>
      <w:r>
        <w:rPr>
          <w:rFonts w:cs="Arial"/>
          <w:color w:val="000000"/>
          <w:szCs w:val="20"/>
          <w:lang w:eastAsia="ar-SA"/>
        </w:rPr>
        <w:t xml:space="preserve">Os </w:t>
      </w:r>
      <w:r>
        <w:rPr>
          <w:rFonts w:cs="Arial"/>
          <w:color w:val="000000"/>
          <w:szCs w:val="20"/>
        </w:rPr>
        <w:t>documentos</w:t>
      </w:r>
      <w:r>
        <w:rPr>
          <w:rFonts w:cs="Arial"/>
          <w:color w:val="000000"/>
          <w:szCs w:val="20"/>
          <w:lang w:eastAsia="ar-SA"/>
        </w:rPr>
        <w:t xml:space="preserve"> a serem exigidos para fins de habilitação constam do </w:t>
      </w:r>
      <w:r>
        <w:rPr>
          <w:rFonts w:cs="Arial"/>
          <w:b/>
          <w:color w:val="000000"/>
          <w:szCs w:val="20"/>
          <w:lang w:eastAsia="ar-SA"/>
        </w:rPr>
        <w:t xml:space="preserve">ANEXO I – DOCUMENTAÇÃO EXIGIDA PARA HABILITAÇÃO </w:t>
      </w:r>
      <w:r>
        <w:rPr>
          <w:rFonts w:cs="Arial"/>
          <w:color w:val="000000"/>
          <w:szCs w:val="20"/>
          <w:lang w:eastAsia="ar-SA"/>
        </w:rPr>
        <w:t>deste aviso e serão solicitados do fornecedor mais bem classificado da fase de lances.</w:t>
      </w:r>
    </w:p>
    <w:p>
      <w:pPr>
        <w:pStyle w:val="ListParagraph"/>
        <w:numPr>
          <w:ilvl w:val="1"/>
          <w:numId w:val="1"/>
        </w:numPr>
        <w:spacing w:lineRule="auto" w:line="276" w:before="120" w:after="120"/>
        <w:ind w:left="792" w:hanging="574"/>
        <w:contextualSpacing/>
        <w:jc w:val="both"/>
        <w:rPr>
          <w:color w:val="000000"/>
        </w:rPr>
      </w:pPr>
      <w:r>
        <w:rPr>
          <w:rFonts w:cs="Arial"/>
          <w:color w:val="000000"/>
          <w:szCs w:val="20"/>
          <w:lang w:eastAsia="ar-SA"/>
        </w:rPr>
        <w:t xml:space="preserve">Como </w:t>
      </w:r>
      <w:r>
        <w:rPr>
          <w:rFonts w:cs="Arial"/>
          <w:color w:val="000000"/>
          <w:szCs w:val="20"/>
        </w:rPr>
        <w:t>condição</w:t>
      </w:r>
      <w:r>
        <w:rPr>
          <w:rFonts w:cs="Arial"/>
          <w:color w:val="000000"/>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ListParagraph"/>
        <w:spacing w:lineRule="auto" w:line="276" w:before="120" w:after="120"/>
        <w:ind w:left="1134" w:hanging="0"/>
        <w:contextualSpacing/>
        <w:jc w:val="both"/>
        <w:rPr>
          <w:rFonts w:cs="Arial"/>
          <w:szCs w:val="20"/>
          <w:lang w:eastAsia="ar-SA"/>
        </w:rPr>
      </w:pPr>
      <w:r>
        <w:rPr>
          <w:rFonts w:cs="Arial"/>
          <w:color w:val="000000"/>
          <w:szCs w:val="20"/>
          <w:lang w:eastAsia="ar-SA"/>
        </w:rPr>
        <w:t xml:space="preserve">a) SICAF;  </w:t>
      </w:r>
    </w:p>
    <w:p>
      <w:pPr>
        <w:pStyle w:val="ListParagraph"/>
        <w:spacing w:lineRule="auto" w:line="276" w:before="120" w:after="120"/>
        <w:ind w:left="1134" w:hanging="0"/>
        <w:contextualSpacing/>
        <w:jc w:val="both"/>
        <w:rPr/>
      </w:pPr>
      <w:r>
        <w:rPr>
          <w:rFonts w:cs="Arial"/>
          <w:color w:val="000000"/>
          <w:szCs w:val="20"/>
          <w:lang w:eastAsia="ar-SA"/>
        </w:rPr>
        <w:t>b) Cadastro Nacional de Empresas Inidôneas e Suspensas - CEIS, mantido pela Controladoria-Geral da União (</w:t>
      </w:r>
      <w:hyperlink r:id="rId4">
        <w:r>
          <w:rPr>
            <w:rStyle w:val="LinkdaInternet"/>
            <w:rFonts w:eastAsia="Calibri" w:cs="Arial"/>
            <w:color w:val="000000"/>
            <w:lang w:eastAsia="ar-SA"/>
          </w:rPr>
          <w:t>www.portaldatransparencia.gov.br/ceis</w:t>
        </w:r>
      </w:hyperlink>
      <w:r>
        <w:rPr>
          <w:rFonts w:cs="Arial"/>
          <w:color w:val="000000"/>
          <w:szCs w:val="20"/>
          <w:lang w:eastAsia="ar-SA"/>
        </w:rPr>
        <w:t xml:space="preserve">);  </w:t>
      </w:r>
    </w:p>
    <w:p>
      <w:pPr>
        <w:pStyle w:val="ListParagraph"/>
        <w:spacing w:lineRule="auto" w:line="276" w:before="120" w:after="120"/>
        <w:ind w:left="1134" w:hanging="0"/>
        <w:contextualSpacing/>
        <w:jc w:val="both"/>
        <w:rPr/>
      </w:pPr>
      <w:r>
        <w:rPr>
          <w:rFonts w:cs="Arial"/>
          <w:color w:val="000000"/>
          <w:szCs w:val="20"/>
          <w:lang w:eastAsia="ar-SA"/>
        </w:rPr>
        <w:t>c) Cadastro Nacional de Condenações Cíveis por Atos de Improbidade Administrativa, mantido pelo Conselho Nacional de Justiça (</w:t>
      </w:r>
      <w:hyperlink r:id="rId5">
        <w:r>
          <w:rPr>
            <w:rStyle w:val="LinkdaInternet"/>
            <w:rFonts w:eastAsia="Calibri" w:cs="Arial"/>
            <w:color w:val="000000"/>
            <w:lang w:eastAsia="ar-SA"/>
          </w:rPr>
          <w:t>www.cnj.jus.br/improbidade_adm/consultar_requerido.php</w:t>
        </w:r>
      </w:hyperlink>
      <w:r>
        <w:rPr>
          <w:rFonts w:cs="Arial"/>
          <w:color w:val="000000"/>
          <w:szCs w:val="20"/>
          <w:lang w:eastAsia="ar-SA"/>
        </w:rPr>
        <w:t xml:space="preserve">).  </w:t>
      </w:r>
    </w:p>
    <w:p>
      <w:pPr>
        <w:pStyle w:val="ListParagraph"/>
        <w:spacing w:lineRule="auto" w:line="276" w:before="120" w:after="120"/>
        <w:ind w:left="1134" w:hanging="0"/>
        <w:contextualSpacing/>
        <w:jc w:val="both"/>
        <w:rPr>
          <w:rFonts w:cs="Arial"/>
          <w:szCs w:val="20"/>
          <w:lang w:eastAsia="ar-SA"/>
        </w:rPr>
      </w:pPr>
      <w:r>
        <w:rPr>
          <w:rFonts w:cs="Arial"/>
          <w:color w:val="000000"/>
          <w:szCs w:val="20"/>
          <w:lang w:eastAsia="ar-SA"/>
        </w:rPr>
        <w:t xml:space="preserve">d) Lista de Inidôneos mantida pelo Tribunal de Contas da União - TCU; </w:t>
      </w:r>
    </w:p>
    <w:p>
      <w:pPr>
        <w:pStyle w:val="ListParagraph"/>
        <w:numPr>
          <w:ilvl w:val="2"/>
          <w:numId w:val="1"/>
        </w:numPr>
        <w:spacing w:lineRule="auto" w:line="276" w:before="120" w:after="120"/>
        <w:contextualSpacing/>
        <w:jc w:val="both"/>
        <w:rPr>
          <w:color w:val="000000"/>
        </w:rPr>
      </w:pPr>
      <w:r>
        <w:rPr>
          <w:rFonts w:cs="Arial"/>
          <w:color w:val="000000"/>
          <w:szCs w:val="20"/>
          <w:lang w:eastAsia="ar-SA"/>
        </w:rPr>
        <w:t xml:space="preserve">Para a consulta de </w:t>
      </w:r>
      <w:r>
        <w:rPr>
          <w:rFonts w:cs="Arial"/>
          <w:color w:val="000000"/>
          <w:szCs w:val="20"/>
        </w:rPr>
        <w:t>fornecedores</w:t>
      </w:r>
      <w:r>
        <w:rPr>
          <w:rFonts w:cs="Arial"/>
          <w:color w:val="000000"/>
          <w:szCs w:val="20"/>
          <w:lang w:eastAsia="ar-SA"/>
        </w:rPr>
        <w:t xml:space="preserve"> pessoa jurídica poderá haver a substituição das consultas das alíneas “b”, “c” e “d” acima pela Consulta Consolidada de Pessoa Jurídica do TCU (https://certidoesapf.apps.tcu.gov.br/)</w:t>
      </w:r>
    </w:p>
    <w:p>
      <w:pPr>
        <w:pStyle w:val="ListParagraph"/>
        <w:numPr>
          <w:ilvl w:val="2"/>
          <w:numId w:val="1"/>
        </w:numPr>
        <w:spacing w:lineRule="auto" w:line="276" w:before="120" w:after="120"/>
        <w:contextualSpacing/>
        <w:jc w:val="both"/>
        <w:rPr>
          <w:color w:val="000000"/>
        </w:rPr>
      </w:pPr>
      <w:r>
        <w:rPr>
          <w:rFonts w:cs="Arial"/>
          <w:color w:val="000000"/>
          <w:szCs w:val="20"/>
        </w:rPr>
        <w:t xml:space="preserve">A consulta aos </w:t>
      </w:r>
      <w:r>
        <w:rPr>
          <w:rFonts w:cs="Arial"/>
          <w:color w:val="000000"/>
          <w:szCs w:val="20"/>
          <w:lang w:eastAsia="ar-SA"/>
        </w:rPr>
        <w:t>cadastros</w:t>
      </w:r>
      <w:r>
        <w:rPr>
          <w:rFonts w:cs="Arial"/>
          <w:color w:val="000000"/>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1"/>
        </w:numPr>
        <w:spacing w:lineRule="auto" w:line="276" w:before="120" w:after="120"/>
        <w:contextualSpacing/>
        <w:jc w:val="both"/>
        <w:rPr>
          <w:rFonts w:cs="Arial"/>
          <w:color w:val="000000"/>
          <w:szCs w:val="20"/>
        </w:rPr>
      </w:pPr>
      <w:r>
        <w:rPr>
          <w:rFonts w:cs="Arial"/>
          <w:color w:val="000000"/>
          <w:szCs w:val="20"/>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4"/>
          <w:numId w:val="1"/>
        </w:numPr>
        <w:spacing w:lineRule="auto" w:line="276" w:before="120" w:after="120"/>
        <w:contextualSpacing/>
        <w:jc w:val="both"/>
        <w:rPr>
          <w:rFonts w:cs="Arial"/>
          <w:color w:val="000000"/>
          <w:szCs w:val="20"/>
        </w:rPr>
      </w:pPr>
      <w:r>
        <w:rPr>
          <w:rFonts w:cs="Arial"/>
          <w:color w:val="000000"/>
          <w:szCs w:val="20"/>
        </w:rPr>
        <w:t>A tentativa de burla será verificada por meio dos vínculos societários, linhas de fornecimento similares, dentre outros.</w:t>
      </w:r>
    </w:p>
    <w:p>
      <w:pPr>
        <w:pStyle w:val="ListParagraph"/>
        <w:numPr>
          <w:ilvl w:val="4"/>
          <w:numId w:val="1"/>
        </w:numPr>
        <w:spacing w:lineRule="auto" w:line="276" w:before="120" w:after="120"/>
        <w:contextualSpacing/>
        <w:jc w:val="both"/>
        <w:rPr>
          <w:rFonts w:cs="Arial"/>
          <w:color w:val="000000"/>
          <w:szCs w:val="20"/>
        </w:rPr>
      </w:pPr>
      <w:r>
        <w:rPr>
          <w:rFonts w:cs="Arial"/>
          <w:color w:val="000000"/>
          <w:szCs w:val="20"/>
        </w:rPr>
        <w:t>O fornecedor será convocado para manifestação previamente à sua desclassificação</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Constatada a existência de sanção, o fornecedor será reputado inabilitado, por falta de condição de participação.</w:t>
      </w:r>
    </w:p>
    <w:p>
      <w:pPr>
        <w:pStyle w:val="ListParagraph"/>
        <w:numPr>
          <w:ilvl w:val="1"/>
          <w:numId w:val="1"/>
        </w:numPr>
        <w:spacing w:lineRule="auto" w:line="276" w:before="120" w:after="120"/>
        <w:ind w:left="792" w:hanging="574"/>
        <w:contextualSpacing/>
        <w:jc w:val="both"/>
        <w:rPr>
          <w:color w:val="000000"/>
        </w:rPr>
      </w:pPr>
      <w:r>
        <w:rPr>
          <w:rFonts w:cs="Arial"/>
          <w:color w:val="000000"/>
          <w:szCs w:val="20"/>
        </w:rPr>
        <w:t>Caso atendidas as condições de participação, a habilitação dos fornecedores será verificada por meio do SICAF, nos documentos por ele abrangidos.</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É dever do fornecedor atualizar previamente as comprovações constantes do SICAF para que estejam vigentes na data da abertura da sessão pública, ou encaminhar, quando solicitado, a respectiva documentação atualizada.</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O descumprimento do subitem acima implicará a inabilitação do fornecedor, exceto se a consulta aos sítios eletrônicos oficiais emissores de certidões lograr êxito em encontrar a(s) certidão(ões) válida(s).</w:t>
      </w:r>
    </w:p>
    <w:p>
      <w:pPr>
        <w:pStyle w:val="ListParagraph"/>
        <w:numPr>
          <w:ilvl w:val="1"/>
          <w:numId w:val="1"/>
        </w:numPr>
        <w:spacing w:lineRule="auto" w:line="276" w:before="120" w:after="120"/>
        <w:ind w:left="792" w:hanging="574"/>
        <w:contextualSpacing/>
        <w:jc w:val="both"/>
        <w:rPr>
          <w:rFonts w:cs="Arial"/>
          <w:color w:val="000000"/>
          <w:szCs w:val="20"/>
        </w:rPr>
      </w:pPr>
      <w:r>
        <w:rPr>
          <w:rFonts w:cs="Arial"/>
          <w:color w:val="000000"/>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ListParagraph"/>
        <w:numPr>
          <w:ilvl w:val="1"/>
          <w:numId w:val="1"/>
        </w:numPr>
        <w:spacing w:lineRule="auto" w:line="276" w:before="120" w:after="120"/>
        <w:ind w:left="792" w:hanging="574"/>
        <w:contextualSpacing/>
        <w:jc w:val="both"/>
        <w:rPr>
          <w:rFonts w:cs="Arial"/>
          <w:color w:val="000000"/>
          <w:szCs w:val="20"/>
        </w:rPr>
      </w:pPr>
      <w:r>
        <w:rPr>
          <w:rFonts w:cs="Arial"/>
          <w:color w:val="000000"/>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1"/>
        </w:numPr>
        <w:spacing w:lineRule="auto" w:line="276" w:before="120" w:after="120"/>
        <w:ind w:left="792" w:hanging="574"/>
        <w:contextualSpacing/>
        <w:jc w:val="both"/>
        <w:rPr>
          <w:rFonts w:cs="Arial"/>
          <w:bCs/>
          <w:szCs w:val="20"/>
        </w:rPr>
      </w:pPr>
      <w:r>
        <w:rPr>
          <w:rFonts w:cs="Arial"/>
          <w:bCs/>
          <w:color w:val="000000"/>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1"/>
        </w:numPr>
        <w:spacing w:lineRule="auto" w:line="276" w:before="120" w:after="120"/>
        <w:ind w:left="792" w:hanging="574"/>
        <w:contextualSpacing/>
        <w:jc w:val="both"/>
        <w:rPr>
          <w:color w:val="000000"/>
        </w:rPr>
      </w:pPr>
      <w:r>
        <w:rPr>
          <w:rFonts w:cs="Arial"/>
          <w:bCs/>
          <w:color w:val="000000"/>
          <w:szCs w:val="20"/>
        </w:rPr>
        <w:t xml:space="preserve">Havendo </w:t>
      </w:r>
      <w:r>
        <w:rPr>
          <w:rFonts w:cs="Arial"/>
          <w:iCs/>
          <w:color w:val="000000"/>
          <w:lang w:eastAsia="en-US"/>
        </w:rPr>
        <w:t>necessidade</w:t>
      </w:r>
      <w:r>
        <w:rPr>
          <w:rFonts w:cs="Arial"/>
          <w:bCs/>
          <w:color w:val="000000"/>
          <w:szCs w:val="20"/>
        </w:rPr>
        <w:t xml:space="preserve"> de analisar minuciosamente os documentos exigidos, a sessão será suspensa, sendo informada a nova data e horário para a sua continuidade.</w:t>
      </w:r>
    </w:p>
    <w:p>
      <w:pPr>
        <w:pStyle w:val="ListParagraph"/>
        <w:numPr>
          <w:ilvl w:val="1"/>
          <w:numId w:val="1"/>
        </w:numPr>
        <w:spacing w:lineRule="auto" w:line="276" w:before="120" w:after="120"/>
        <w:ind w:left="792" w:hanging="574"/>
        <w:contextualSpacing/>
        <w:jc w:val="both"/>
        <w:rPr>
          <w:color w:val="000000"/>
        </w:rPr>
      </w:pPr>
      <w:r>
        <w:rPr>
          <w:rFonts w:cs="Arial"/>
          <w:color w:val="000000"/>
          <w:szCs w:val="20"/>
        </w:rPr>
        <w:t xml:space="preserve">Será inabilitado o fornecedor que não comprovar sua habilitação, seja por não apresentar </w:t>
      </w:r>
      <w:r>
        <w:rPr>
          <w:rFonts w:cs="Arial"/>
          <w:iCs/>
          <w:color w:val="000000"/>
          <w:lang w:eastAsia="en-US"/>
        </w:rPr>
        <w:t>quaisquer</w:t>
      </w:r>
      <w:r>
        <w:rPr>
          <w:rFonts w:cs="Arial"/>
          <w:color w:val="000000"/>
          <w:szCs w:val="20"/>
        </w:rPr>
        <w:t xml:space="preserve"> dos </w:t>
      </w:r>
      <w:r>
        <w:rPr>
          <w:rFonts w:cs="Arial"/>
          <w:bCs/>
          <w:color w:val="000000"/>
          <w:szCs w:val="20"/>
        </w:rPr>
        <w:t>documentos</w:t>
      </w:r>
      <w:r>
        <w:rPr>
          <w:rFonts w:cs="Arial"/>
          <w:color w:val="000000"/>
          <w:szCs w:val="20"/>
        </w:rPr>
        <w:t xml:space="preserve"> exigidos, ou apresentá-los em desacordo com o estabelecido neste Aviso de Contratação Direta.</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numPr>
          <w:ilvl w:val="1"/>
          <w:numId w:val="1"/>
        </w:numPr>
        <w:spacing w:lineRule="auto" w:line="276" w:before="120" w:after="120"/>
        <w:ind w:left="792" w:hanging="574"/>
        <w:contextualSpacing/>
        <w:jc w:val="both"/>
        <w:rPr>
          <w:rFonts w:cs="Arial"/>
          <w:iCs/>
          <w:lang w:eastAsia="en-US"/>
        </w:rPr>
      </w:pPr>
      <w:r>
        <w:rPr>
          <w:rFonts w:cs="Arial"/>
          <w:iCs/>
          <w:color w:val="000000"/>
          <w:lang w:eastAsia="en-US"/>
        </w:rPr>
        <w:t>Constatado o atendimento às exigências de habilitação, o fornecedor será habilitado</w:t>
      </w:r>
    </w:p>
    <w:p>
      <w:pPr>
        <w:pStyle w:val="PADRO"/>
        <w:widowControl/>
        <w:numPr>
          <w:ilvl w:val="0"/>
          <w:numId w:val="1"/>
        </w:numPr>
        <w:spacing w:before="120" w:after="120"/>
        <w:rPr>
          <w:rFonts w:ascii="Arial" w:hAnsi="Arial" w:cs="Arial"/>
          <w:b/>
          <w:b/>
        </w:rPr>
      </w:pPr>
      <w:r>
        <w:rPr>
          <w:rFonts w:cs="Arial" w:ascii="Arial" w:hAnsi="Arial"/>
          <w:b/>
          <w:color w:val="000000"/>
        </w:rPr>
        <w:t>CONTRATAÇÃO</w:t>
      </w:r>
    </w:p>
    <w:p>
      <w:pPr>
        <w:pStyle w:val="Normal"/>
        <w:numPr>
          <w:ilvl w:val="1"/>
          <w:numId w:val="1"/>
        </w:numPr>
        <w:spacing w:lineRule="auto" w:line="276" w:before="120" w:after="120"/>
        <w:ind w:left="425" w:hanging="0"/>
        <w:jc w:val="both"/>
        <w:rPr>
          <w:rFonts w:eastAsia="Arial" w:cs="Arial"/>
          <w:color w:val="000000"/>
          <w:szCs w:val="20"/>
        </w:rPr>
      </w:pPr>
      <w:r>
        <w:rPr>
          <w:rFonts w:eastAsia="Arial" w:cs="Arial"/>
          <w:color w:val="000000"/>
          <w:szCs w:val="20"/>
        </w:rPr>
        <w:t>Após a homologação e adjudicação, caso se conclua pela contratação, será firmado Termo de Contrato ou emitido instrumento equivalente.</w:t>
      </w:r>
    </w:p>
    <w:p>
      <w:pPr>
        <w:pStyle w:val="Normal"/>
        <w:numPr>
          <w:ilvl w:val="1"/>
          <w:numId w:val="1"/>
        </w:numPr>
        <w:spacing w:lineRule="auto" w:line="276" w:before="120" w:after="120"/>
        <w:ind w:left="425" w:hanging="0"/>
        <w:jc w:val="both"/>
        <w:rPr>
          <w:rFonts w:eastAsia="Arial" w:cs="Arial"/>
          <w:color w:val="000000"/>
          <w:szCs w:val="20"/>
        </w:rPr>
      </w:pPr>
      <w:r>
        <w:rPr>
          <w:rFonts w:eastAsia="Arial" w:cs="Arial"/>
          <w:color w:val="000000"/>
          <w:szCs w:val="20"/>
        </w:rPr>
        <w:t xml:space="preserve">O adjudicatário terá o prazo de 30 (trinta) dias úteis, contados a partir da data de sua convocação, para assinar o Termo de Contrato ou aceitar instrumento equivalente, conforme o caso (Nota de Empenho/Carta Contrato/Autorização), sob pena de decair do direito à contratação, sem prejuízo das sanções previstas neste Aviso de Contratação Direta. </w:t>
      </w:r>
    </w:p>
    <w:p>
      <w:pPr>
        <w:pStyle w:val="Normal"/>
        <w:numPr>
          <w:ilvl w:val="2"/>
          <w:numId w:val="1"/>
        </w:numPr>
        <w:spacing w:lineRule="auto" w:line="276" w:before="120" w:after="120"/>
        <w:jc w:val="both"/>
        <w:rPr>
          <w:rFonts w:eastAsia="Arial" w:cs="Arial"/>
          <w:color w:val="000000"/>
          <w:szCs w:val="20"/>
        </w:rPr>
      </w:pPr>
      <w:r>
        <w:rPr>
          <w:rFonts w:eastAsia="Arial" w:cs="Arial"/>
          <w:color w:val="000000"/>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05(cinco) dias úteis, a contar da data de seu recebimento. </w:t>
      </w:r>
    </w:p>
    <w:p>
      <w:pPr>
        <w:pStyle w:val="Normal"/>
        <w:numPr>
          <w:ilvl w:val="2"/>
          <w:numId w:val="1"/>
        </w:numPr>
        <w:spacing w:lineRule="auto" w:line="276" w:before="120" w:after="120"/>
        <w:jc w:val="both"/>
        <w:rPr>
          <w:color w:val="000000"/>
        </w:rPr>
      </w:pPr>
      <w:r>
        <w:rPr>
          <w:rFonts w:eastAsia="Arial" w:cs="Arial"/>
          <w:color w:val="000000"/>
          <w:szCs w:val="20"/>
        </w:rPr>
        <w:t xml:space="preserve">O prazo previsto para assinatura do contrato ou aceitação da nota de empenho ou instrumento equivalente poderá ser prorrogado </w:t>
      </w:r>
      <w:r>
        <w:rPr>
          <w:rFonts w:cs="Times New Roman"/>
          <w:bCs/>
          <w:color w:val="000000"/>
        </w:rPr>
        <w:t>1 (uma) vez</w:t>
      </w:r>
      <w:r>
        <w:rPr>
          <w:rFonts w:eastAsia="Arial" w:cs="Arial"/>
          <w:color w:val="000000"/>
          <w:szCs w:val="20"/>
        </w:rPr>
        <w:t>, por igual período, por solicitação justificada do adjudicatário e aceita pela Administração.</w:t>
      </w:r>
    </w:p>
    <w:p>
      <w:pPr>
        <w:pStyle w:val="Normal"/>
        <w:numPr>
          <w:ilvl w:val="1"/>
          <w:numId w:val="1"/>
        </w:numPr>
        <w:spacing w:lineRule="auto" w:line="276" w:before="120" w:after="120"/>
        <w:ind w:left="425" w:hanging="0"/>
        <w:jc w:val="both"/>
        <w:rPr>
          <w:rFonts w:eastAsia="Arial" w:cs="Arial"/>
          <w:color w:val="000000"/>
          <w:szCs w:val="20"/>
        </w:rPr>
      </w:pPr>
      <w:r>
        <w:rPr>
          <w:rFonts w:eastAsia="Arial" w:cs="Arial"/>
          <w:color w:val="000000"/>
          <w:szCs w:val="20"/>
        </w:rPr>
        <w:t>O Aceite da Nota de Empenho ou do instrumento equivalente, emitida à empresa adjudicada, implica no reconhecimento de que:</w:t>
      </w:r>
    </w:p>
    <w:p>
      <w:pPr>
        <w:pStyle w:val="Normal"/>
        <w:numPr>
          <w:ilvl w:val="2"/>
          <w:numId w:val="1"/>
        </w:numPr>
        <w:spacing w:lineRule="auto" w:line="276" w:before="120" w:after="120"/>
        <w:jc w:val="both"/>
        <w:rPr>
          <w:rFonts w:eastAsia="Arial" w:cs="Arial"/>
          <w:color w:val="000000"/>
          <w:szCs w:val="20"/>
        </w:rPr>
      </w:pPr>
      <w:r>
        <w:rPr>
          <w:rFonts w:eastAsia="Arial" w:cs="Arial"/>
          <w:color w:val="000000"/>
          <w:szCs w:val="20"/>
        </w:rPr>
        <w:t>referida Nota está substituindo o contrato, aplicando-se à relação de negócios ali estabelecida as disposições da Lei nº 14.133, de 2021;</w:t>
      </w:r>
    </w:p>
    <w:p>
      <w:pPr>
        <w:pStyle w:val="Normal"/>
        <w:numPr>
          <w:ilvl w:val="2"/>
          <w:numId w:val="1"/>
        </w:numPr>
        <w:spacing w:lineRule="auto" w:line="276" w:before="120" w:after="120"/>
        <w:jc w:val="both"/>
        <w:rPr>
          <w:rFonts w:eastAsia="Arial" w:cs="Arial"/>
          <w:color w:val="000000"/>
          <w:szCs w:val="20"/>
        </w:rPr>
      </w:pPr>
      <w:r>
        <w:rPr>
          <w:rFonts w:eastAsia="Arial" w:cs="Arial"/>
          <w:color w:val="000000"/>
          <w:szCs w:val="20"/>
        </w:rPr>
        <w:t>a contratada se vincula à sua proposta e às previsões contidas no Aviso de Contratação Direta e seus anexos;</w:t>
      </w:r>
    </w:p>
    <w:p>
      <w:pPr>
        <w:pStyle w:val="Normal"/>
        <w:numPr>
          <w:ilvl w:val="2"/>
          <w:numId w:val="1"/>
        </w:numPr>
        <w:spacing w:lineRule="auto" w:line="276" w:before="120" w:after="120"/>
        <w:jc w:val="both"/>
        <w:rPr>
          <w:rFonts w:eastAsia="Arial" w:cs="Arial"/>
          <w:color w:val="000000"/>
          <w:szCs w:val="20"/>
        </w:rPr>
      </w:pPr>
      <w:r>
        <w:rPr>
          <w:rFonts w:eastAsia="Arial" w:cs="Arial"/>
          <w:color w:val="000000"/>
          <w:szCs w:val="20"/>
        </w:rPr>
        <w:t>a contratada reconhece que as hipóteses de rescisão são aquelas previstas nos artigos 137 e 138 da Lei nº 14.133/21 e reconhece os direitos da Administração previstos nos artigos 137 a 139 da mesma Lei.</w:t>
      </w:r>
    </w:p>
    <w:p>
      <w:pPr>
        <w:pStyle w:val="Normal"/>
        <w:numPr>
          <w:ilvl w:val="1"/>
          <w:numId w:val="1"/>
        </w:numPr>
        <w:spacing w:lineRule="auto" w:line="276" w:before="120" w:after="120"/>
        <w:ind w:left="425" w:hanging="0"/>
        <w:jc w:val="both"/>
        <w:rPr>
          <w:rFonts w:eastAsia="Arial" w:cs="Arial"/>
          <w:color w:val="000000"/>
          <w:szCs w:val="20"/>
        </w:rPr>
      </w:pPr>
      <w:r>
        <w:rPr>
          <w:rFonts w:eastAsia="Arial" w:cs="Arial"/>
          <w:color w:val="000000"/>
          <w:szCs w:val="20"/>
        </w:rPr>
        <w:t>O prazo de vigência da contratação é até 31 de dezembro de 2023, prorrogável conforme previsão nos anexos a este Aviso de Contratação Direta.</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pPr>
        <w:pStyle w:val="PADRO"/>
        <w:widowControl/>
        <w:numPr>
          <w:ilvl w:val="0"/>
          <w:numId w:val="1"/>
        </w:numPr>
        <w:spacing w:before="120" w:after="120"/>
        <w:rPr>
          <w:rFonts w:ascii="Arial" w:hAnsi="Arial" w:cs="Arial"/>
          <w:b/>
          <w:b/>
        </w:rPr>
      </w:pPr>
      <w:r>
        <w:rPr>
          <w:rFonts w:cs="Arial" w:ascii="Arial" w:hAnsi="Arial"/>
          <w:b/>
          <w:color w:val="000000"/>
        </w:rPr>
        <w:t>SANÇÕES</w:t>
      </w:r>
    </w:p>
    <w:p>
      <w:pPr>
        <w:pStyle w:val="Normal"/>
        <w:numPr>
          <w:ilvl w:val="1"/>
          <w:numId w:val="1"/>
        </w:numPr>
        <w:spacing w:lineRule="auto" w:line="276" w:before="120" w:after="120"/>
        <w:ind w:left="425" w:hanging="0"/>
        <w:jc w:val="both"/>
        <w:rPr>
          <w:rFonts w:cs="Arial"/>
        </w:rPr>
      </w:pPr>
      <w:r>
        <w:rPr>
          <w:rFonts w:cs="Arial"/>
          <w:color w:val="000000"/>
        </w:rPr>
        <w:t xml:space="preserve">Comete infração administrativa o fornecedor que cometer quaisquer das infrações previstas no art. 155 da Lei nº 14.133, de 2021, quais sejam: </w:t>
      </w:r>
    </w:p>
    <w:p>
      <w:pPr>
        <w:pStyle w:val="Normal"/>
        <w:numPr>
          <w:ilvl w:val="2"/>
          <w:numId w:val="1"/>
        </w:numPr>
        <w:spacing w:lineRule="auto" w:line="276" w:before="120" w:after="120"/>
        <w:jc w:val="both"/>
        <w:rPr>
          <w:color w:val="000000"/>
        </w:rPr>
      </w:pPr>
      <w:r>
        <w:rPr>
          <w:rFonts w:cs="Arial"/>
          <w:color w:val="000000"/>
          <w:szCs w:val="20"/>
        </w:rPr>
        <w:t>dar causa à inexecução parcial do contrato</w:t>
      </w:r>
      <w:r>
        <w:rPr>
          <w:rFonts w:cs="Arial"/>
          <w:color w:val="000000"/>
        </w:rPr>
        <w:t>;</w:t>
      </w:r>
    </w:p>
    <w:p>
      <w:pPr>
        <w:pStyle w:val="Normal"/>
        <w:numPr>
          <w:ilvl w:val="2"/>
          <w:numId w:val="1"/>
        </w:numPr>
        <w:spacing w:lineRule="auto" w:line="276" w:before="120" w:after="120"/>
        <w:jc w:val="both"/>
        <w:rPr>
          <w:rFonts w:cs="Arial"/>
          <w:color w:val="000000"/>
          <w:szCs w:val="20"/>
        </w:rPr>
      </w:pPr>
      <w:r>
        <w:rPr>
          <w:rFonts w:cs="Arial"/>
          <w:color w:val="000000"/>
          <w:szCs w:val="20"/>
        </w:rPr>
        <w:t>dar causa à inexecução parcial do contrato que cause grave dano à Administração, ao funcionamento dos serviços públicos ou ao interesse coletivo;</w:t>
      </w:r>
    </w:p>
    <w:p>
      <w:pPr>
        <w:pStyle w:val="Normal"/>
        <w:numPr>
          <w:ilvl w:val="2"/>
          <w:numId w:val="1"/>
        </w:numPr>
        <w:spacing w:lineRule="auto" w:line="276" w:before="120" w:after="120"/>
        <w:jc w:val="both"/>
        <w:rPr>
          <w:rFonts w:cs="Arial"/>
          <w:color w:val="000000"/>
          <w:szCs w:val="20"/>
        </w:rPr>
      </w:pPr>
      <w:r>
        <w:rPr>
          <w:rFonts w:cs="Arial"/>
          <w:color w:val="000000"/>
          <w:szCs w:val="20"/>
        </w:rPr>
        <w:t>dar causa à inexecução total do contrato;</w:t>
      </w:r>
    </w:p>
    <w:p>
      <w:pPr>
        <w:pStyle w:val="Normal"/>
        <w:numPr>
          <w:ilvl w:val="2"/>
          <w:numId w:val="1"/>
        </w:numPr>
        <w:spacing w:lineRule="auto" w:line="276" w:before="120" w:after="120"/>
        <w:jc w:val="both"/>
        <w:rPr>
          <w:rFonts w:cs="Arial"/>
          <w:color w:val="000000"/>
          <w:szCs w:val="20"/>
        </w:rPr>
      </w:pPr>
      <w:r>
        <w:rPr>
          <w:rFonts w:cs="Arial"/>
          <w:color w:val="000000"/>
          <w:szCs w:val="20"/>
        </w:rPr>
        <w:t>deixar de entregar a documentação exigida para o certame;</w:t>
      </w:r>
    </w:p>
    <w:p>
      <w:pPr>
        <w:pStyle w:val="Normal"/>
        <w:numPr>
          <w:ilvl w:val="2"/>
          <w:numId w:val="1"/>
        </w:numPr>
        <w:spacing w:lineRule="auto" w:line="276" w:before="120" w:after="120"/>
        <w:jc w:val="both"/>
        <w:rPr>
          <w:rFonts w:cs="Arial"/>
          <w:color w:val="000000"/>
          <w:szCs w:val="20"/>
        </w:rPr>
      </w:pPr>
      <w:r>
        <w:rPr>
          <w:rFonts w:cs="Arial"/>
          <w:color w:val="000000"/>
          <w:szCs w:val="20"/>
        </w:rPr>
        <w:t>não manter a proposta, salvo em decorrência de fato superveniente devidamente justificado;</w:t>
      </w:r>
    </w:p>
    <w:p>
      <w:pPr>
        <w:pStyle w:val="Normal"/>
        <w:numPr>
          <w:ilvl w:val="2"/>
          <w:numId w:val="1"/>
        </w:numPr>
        <w:spacing w:lineRule="auto" w:line="276" w:before="120" w:after="120"/>
        <w:jc w:val="both"/>
        <w:rPr>
          <w:rFonts w:cs="Arial"/>
          <w:color w:val="000000"/>
          <w:szCs w:val="20"/>
        </w:rPr>
      </w:pPr>
      <w:r>
        <w:rPr>
          <w:rFonts w:cs="Arial"/>
          <w:color w:val="000000"/>
          <w:szCs w:val="20"/>
        </w:rPr>
        <w:t>não celebrar o contrato ou não entregar a documentação exigida para a contratação, quando convocado dentro do prazo de validade de sua proposta;</w:t>
      </w:r>
    </w:p>
    <w:p>
      <w:pPr>
        <w:pStyle w:val="Normal"/>
        <w:numPr>
          <w:ilvl w:val="2"/>
          <w:numId w:val="1"/>
        </w:numPr>
        <w:spacing w:lineRule="auto" w:line="276" w:before="120" w:after="120"/>
        <w:jc w:val="both"/>
        <w:rPr>
          <w:rFonts w:cs="Arial"/>
          <w:color w:val="000000"/>
          <w:szCs w:val="20"/>
        </w:rPr>
      </w:pPr>
      <w:r>
        <w:rPr>
          <w:rFonts w:cs="Arial"/>
          <w:color w:val="000000"/>
          <w:szCs w:val="20"/>
        </w:rPr>
        <w:t>ensejar o retardamento da execução ou da entrega do objeto da licitação sem motivo justificado;</w:t>
      </w:r>
    </w:p>
    <w:p>
      <w:pPr>
        <w:pStyle w:val="Normal"/>
        <w:numPr>
          <w:ilvl w:val="2"/>
          <w:numId w:val="1"/>
        </w:numPr>
        <w:spacing w:lineRule="auto" w:line="276" w:before="120" w:after="120"/>
        <w:jc w:val="both"/>
        <w:rPr>
          <w:rFonts w:cs="Arial"/>
          <w:color w:val="000000"/>
          <w:szCs w:val="20"/>
        </w:rPr>
      </w:pPr>
      <w:r>
        <w:rPr>
          <w:rFonts w:cs="Arial"/>
          <w:color w:val="000000"/>
          <w:szCs w:val="20"/>
        </w:rPr>
        <w:t>apresentar declaração ou documentação falsa exigida para o certame ou prestar declaração falsa durante a dispensa eletrônica ou a execução do contrato;</w:t>
      </w:r>
    </w:p>
    <w:p>
      <w:pPr>
        <w:pStyle w:val="Normal"/>
        <w:numPr>
          <w:ilvl w:val="2"/>
          <w:numId w:val="1"/>
        </w:numPr>
        <w:spacing w:lineRule="auto" w:line="276" w:before="120" w:after="120"/>
        <w:jc w:val="both"/>
        <w:rPr>
          <w:rFonts w:cs="Arial"/>
          <w:color w:val="000000"/>
          <w:szCs w:val="20"/>
        </w:rPr>
      </w:pPr>
      <w:r>
        <w:rPr>
          <w:rFonts w:cs="Arial"/>
          <w:color w:val="000000"/>
          <w:szCs w:val="20"/>
        </w:rPr>
        <w:t>fraudar a dispensa eletrônica ou praticar ato fraudulento na execução do contrato;</w:t>
      </w:r>
    </w:p>
    <w:p>
      <w:pPr>
        <w:pStyle w:val="Normal"/>
        <w:numPr>
          <w:ilvl w:val="2"/>
          <w:numId w:val="1"/>
        </w:numPr>
        <w:spacing w:lineRule="auto" w:line="276" w:before="120" w:after="120"/>
        <w:jc w:val="both"/>
        <w:rPr>
          <w:rFonts w:cs="Arial"/>
          <w:color w:val="000000"/>
          <w:szCs w:val="20"/>
        </w:rPr>
      </w:pPr>
      <w:r>
        <w:rPr>
          <w:rFonts w:cs="Arial"/>
          <w:color w:val="000000"/>
          <w:szCs w:val="20"/>
        </w:rPr>
        <w:t>comportar-se de modo inidôneo ou cometer fraude de qualquer natureza;</w:t>
      </w:r>
    </w:p>
    <w:p>
      <w:pPr>
        <w:pStyle w:val="ListParagraph"/>
        <w:numPr>
          <w:ilvl w:val="3"/>
          <w:numId w:val="1"/>
        </w:numPr>
        <w:spacing w:lineRule="auto" w:line="276" w:before="120" w:after="120"/>
        <w:contextualSpacing/>
        <w:jc w:val="both"/>
        <w:rPr>
          <w:rFonts w:cs="Arial"/>
        </w:rPr>
      </w:pPr>
      <w:r>
        <w:rPr>
          <w:rFonts w:cs="Arial"/>
          <w:color w:val="000000"/>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lineRule="auto" w:line="276" w:before="120" w:after="120"/>
        <w:jc w:val="both"/>
        <w:rPr>
          <w:rFonts w:cs="Arial"/>
          <w:color w:val="000000"/>
          <w:szCs w:val="20"/>
        </w:rPr>
      </w:pPr>
      <w:r>
        <w:rPr>
          <w:rFonts w:cs="Arial"/>
          <w:color w:val="000000"/>
          <w:szCs w:val="20"/>
        </w:rPr>
        <w:t>praticar atos ilícitos com vistas a frustrar os objetivos deste certame.</w:t>
      </w:r>
    </w:p>
    <w:p>
      <w:pPr>
        <w:pStyle w:val="Normal"/>
        <w:numPr>
          <w:ilvl w:val="2"/>
          <w:numId w:val="1"/>
        </w:numPr>
        <w:spacing w:lineRule="auto" w:line="276" w:before="120" w:after="120"/>
        <w:jc w:val="both"/>
        <w:rPr/>
      </w:pPr>
      <w:r>
        <w:rPr>
          <w:rFonts w:cs="Arial"/>
          <w:color w:val="000000"/>
          <w:szCs w:val="20"/>
        </w:rPr>
        <w:t xml:space="preserve">praticar ato lesivo previsto no </w:t>
      </w:r>
      <w:r>
        <w:fldChar w:fldCharType="begin"/>
      </w:r>
      <w:r>
        <w:rPr>
          <w:rStyle w:val="LinkdaInternet"/>
          <w:color w:val="000000"/>
        </w:rPr>
        <w:instrText xml:space="preserve"> HYPERLINK "http://www.planalto.gov.br/ccivil_03/_Ato2011-2014/2013/Lei/L12846.htm" \l "art5"</w:instrText>
      </w:r>
      <w:r>
        <w:rPr>
          <w:rStyle w:val="LinkdaInternet"/>
          <w:color w:val="000000"/>
        </w:rPr>
        <w:fldChar w:fldCharType="separate"/>
      </w:r>
      <w:r>
        <w:rPr>
          <w:rStyle w:val="LinkdaInternet"/>
          <w:color w:val="000000"/>
        </w:rPr>
        <w:t>art. 5º da Lei nº 12.846, de 1º de agosto de 2013.</w:t>
      </w:r>
      <w:r>
        <w:rPr>
          <w:rStyle w:val="LinkdaInternet"/>
          <w:color w:val="000000"/>
        </w:rPr>
        <w:fldChar w:fldCharType="end"/>
      </w:r>
    </w:p>
    <w:p>
      <w:pPr>
        <w:pStyle w:val="Normal"/>
        <w:numPr>
          <w:ilvl w:val="1"/>
          <w:numId w:val="1"/>
        </w:numPr>
        <w:spacing w:lineRule="auto" w:line="276" w:before="120" w:after="120"/>
        <w:ind w:left="425" w:hanging="0"/>
        <w:jc w:val="both"/>
        <w:rPr>
          <w:rFonts w:cs="Arial"/>
        </w:rPr>
      </w:pPr>
      <w:r>
        <w:rPr>
          <w:rFonts w:cs="Arial"/>
          <w:color w:val="000000"/>
        </w:rPr>
        <w:t>O fornecedor que cometer qualquer das infrações discriminadas nos subitens anteriores ficará sujeito, sem prejuízo da responsabilidade civil e criminal, às seguintes sanções:</w:t>
      </w:r>
    </w:p>
    <w:p>
      <w:pPr>
        <w:pStyle w:val="Normal"/>
        <w:numPr>
          <w:ilvl w:val="2"/>
          <w:numId w:val="3"/>
        </w:numPr>
        <w:spacing w:lineRule="auto" w:line="276" w:before="120" w:after="120"/>
        <w:jc w:val="both"/>
        <w:rPr>
          <w:rFonts w:cs="Arial"/>
        </w:rPr>
      </w:pPr>
      <w:r>
        <w:rPr>
          <w:rFonts w:cs="Arial"/>
          <w:color w:val="000000"/>
        </w:rPr>
        <w:t>Advertência pela falta do subitem 8.1.1 deste Aviso de Contratação Direta,quando não se justificar a imposição de penalidade mais grave;</w:t>
      </w:r>
    </w:p>
    <w:p>
      <w:pPr>
        <w:pStyle w:val="Normal"/>
        <w:numPr>
          <w:ilvl w:val="2"/>
          <w:numId w:val="3"/>
        </w:numPr>
        <w:spacing w:lineRule="auto" w:line="276" w:before="120" w:after="120"/>
        <w:jc w:val="both"/>
        <w:rPr>
          <w:color w:val="000000"/>
        </w:rPr>
      </w:pPr>
      <w:r>
        <w:rPr>
          <w:rFonts w:cs="Arial"/>
          <w:color w:val="000000"/>
        </w:rPr>
        <w:t>Multa de 20% (vinte por cento) sobre o valor estimado do(s) item(s) prejudicado(s) pela conduta do fornecedor, por qualquer das infrações dos subitens 8.1.1 a 8.1.12;</w:t>
      </w:r>
    </w:p>
    <w:p>
      <w:pPr>
        <w:pStyle w:val="Normal"/>
        <w:numPr>
          <w:ilvl w:val="2"/>
          <w:numId w:val="3"/>
        </w:numPr>
        <w:spacing w:lineRule="auto" w:line="276" w:before="120" w:after="120"/>
        <w:jc w:val="both"/>
        <w:rPr>
          <w:color w:val="000000"/>
        </w:rPr>
      </w:pPr>
      <w:r>
        <w:rPr>
          <w:rFonts w:cs="Arial"/>
          <w:color w:val="000000"/>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color w:val="000000"/>
        </w:rPr>
        <w:t>;</w:t>
      </w:r>
    </w:p>
    <w:p>
      <w:pPr>
        <w:pStyle w:val="Normal"/>
        <w:numPr>
          <w:ilvl w:val="2"/>
          <w:numId w:val="3"/>
        </w:numPr>
        <w:spacing w:lineRule="auto" w:line="276" w:before="120" w:after="120"/>
        <w:jc w:val="both"/>
        <w:rPr>
          <w:color w:val="000000"/>
        </w:rPr>
      </w:pPr>
      <w:r>
        <w:rPr>
          <w:rFonts w:cs="Arial"/>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color w:val="000000"/>
        </w:rPr>
        <w:t>;</w:t>
      </w:r>
    </w:p>
    <w:p>
      <w:pPr>
        <w:pStyle w:val="Normal"/>
        <w:numPr>
          <w:ilvl w:val="1"/>
          <w:numId w:val="1"/>
        </w:numPr>
        <w:spacing w:lineRule="auto" w:line="276" w:before="120" w:after="120"/>
        <w:jc w:val="both"/>
        <w:rPr>
          <w:rFonts w:cs="Arial"/>
          <w:bCs/>
        </w:rPr>
      </w:pPr>
      <w:r>
        <w:rPr>
          <w:rFonts w:cs="Arial"/>
          <w:bCs/>
          <w:color w:val="000000"/>
        </w:rPr>
        <w:t>Na aplicação das sanções serão considerados:</w:t>
      </w:r>
    </w:p>
    <w:p>
      <w:pPr>
        <w:pStyle w:val="Normal"/>
        <w:numPr>
          <w:ilvl w:val="2"/>
          <w:numId w:val="1"/>
        </w:numPr>
        <w:spacing w:lineRule="auto" w:line="276" w:before="120" w:after="120"/>
        <w:jc w:val="both"/>
        <w:rPr>
          <w:rFonts w:cs="Arial"/>
          <w:bCs/>
        </w:rPr>
      </w:pPr>
      <w:r>
        <w:rPr>
          <w:rFonts w:cs="Arial"/>
          <w:bCs/>
          <w:color w:val="000000"/>
        </w:rPr>
        <w:t>a natureza e a gravidade da infração cometida;</w:t>
      </w:r>
    </w:p>
    <w:p>
      <w:pPr>
        <w:pStyle w:val="Normal"/>
        <w:numPr>
          <w:ilvl w:val="2"/>
          <w:numId w:val="1"/>
        </w:numPr>
        <w:spacing w:lineRule="auto" w:line="276" w:before="120" w:after="120"/>
        <w:jc w:val="both"/>
        <w:rPr>
          <w:rFonts w:cs="Arial"/>
          <w:bCs/>
        </w:rPr>
      </w:pPr>
      <w:r>
        <w:rPr>
          <w:rFonts w:cs="Arial"/>
          <w:bCs/>
          <w:color w:val="000000"/>
        </w:rPr>
        <w:t>as peculiaridades do caso concreto;</w:t>
      </w:r>
    </w:p>
    <w:p>
      <w:pPr>
        <w:pStyle w:val="Normal"/>
        <w:numPr>
          <w:ilvl w:val="2"/>
          <w:numId w:val="1"/>
        </w:numPr>
        <w:spacing w:lineRule="auto" w:line="276" w:before="120" w:after="120"/>
        <w:jc w:val="both"/>
        <w:rPr>
          <w:rFonts w:cs="Arial"/>
          <w:bCs/>
        </w:rPr>
      </w:pPr>
      <w:r>
        <w:rPr>
          <w:rFonts w:cs="Arial"/>
          <w:bCs/>
          <w:color w:val="000000"/>
        </w:rPr>
        <w:t>as circunstâncias agravantes ou atenuantes;</w:t>
      </w:r>
    </w:p>
    <w:p>
      <w:pPr>
        <w:pStyle w:val="Normal"/>
        <w:numPr>
          <w:ilvl w:val="2"/>
          <w:numId w:val="1"/>
        </w:numPr>
        <w:spacing w:lineRule="auto" w:line="276" w:before="120" w:after="120"/>
        <w:jc w:val="both"/>
        <w:rPr>
          <w:rFonts w:cs="Arial"/>
          <w:bCs/>
        </w:rPr>
      </w:pPr>
      <w:r>
        <w:rPr>
          <w:rFonts w:cs="Arial"/>
          <w:bCs/>
          <w:color w:val="000000"/>
        </w:rPr>
        <w:t>os danos que dela provierem para a Administração Pública;</w:t>
      </w:r>
    </w:p>
    <w:p>
      <w:pPr>
        <w:pStyle w:val="Normal"/>
        <w:numPr>
          <w:ilvl w:val="2"/>
          <w:numId w:val="1"/>
        </w:numPr>
        <w:spacing w:lineRule="auto" w:line="276" w:before="120" w:after="120"/>
        <w:jc w:val="both"/>
        <w:rPr>
          <w:rFonts w:cs="Arial"/>
          <w:bCs/>
        </w:rPr>
      </w:pPr>
      <w:r>
        <w:rPr>
          <w:rFonts w:cs="Arial"/>
          <w:bCs/>
          <w:color w:val="000000"/>
        </w:rPr>
        <w:t>a implantação ou o aperfeiçoamento de programa de integridade, conforme normas e orientações dos órgãos de controle.</w:t>
      </w:r>
    </w:p>
    <w:p>
      <w:pPr>
        <w:pStyle w:val="Normal"/>
        <w:numPr>
          <w:ilvl w:val="1"/>
          <w:numId w:val="1"/>
        </w:numPr>
        <w:spacing w:lineRule="auto" w:line="276" w:before="120" w:after="120"/>
        <w:ind w:left="425" w:hanging="0"/>
        <w:jc w:val="both"/>
        <w:rPr>
          <w:rFonts w:cs="Arial"/>
        </w:rPr>
      </w:pPr>
      <w:r>
        <w:rPr>
          <w:rFonts w:cs="Arial"/>
          <w:color w:val="000000"/>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1"/>
        </w:numPr>
        <w:spacing w:lineRule="auto" w:line="276" w:before="120" w:after="120"/>
        <w:ind w:left="425" w:hanging="0"/>
        <w:jc w:val="both"/>
        <w:rPr>
          <w:rFonts w:cs="Arial"/>
        </w:rPr>
      </w:pPr>
      <w:r>
        <w:rPr>
          <w:rFonts w:cs="Arial"/>
          <w:color w:val="000000"/>
        </w:rPr>
        <w:t>A aplicação das sanções previstas neste Aviso de Contratação Direta, em hipótese alguma, a obrigação de reparação integral do dano causado à Administração Pública.</w:t>
      </w:r>
    </w:p>
    <w:p>
      <w:pPr>
        <w:pStyle w:val="Normal"/>
        <w:numPr>
          <w:ilvl w:val="1"/>
          <w:numId w:val="1"/>
        </w:numPr>
        <w:spacing w:lineRule="auto" w:line="276" w:before="120" w:after="120"/>
        <w:ind w:left="425" w:hanging="0"/>
        <w:jc w:val="both"/>
        <w:rPr>
          <w:rFonts w:cs="Arial"/>
        </w:rPr>
      </w:pPr>
      <w:r>
        <w:rPr>
          <w:rFonts w:cs="Arial"/>
          <w:color w:val="000000"/>
        </w:rPr>
        <w:t>A penalidade de multa pode ser aplicada cumulativamente com as demais sanções.</w:t>
      </w:r>
    </w:p>
    <w:p>
      <w:pPr>
        <w:pStyle w:val="Normal"/>
        <w:numPr>
          <w:ilvl w:val="1"/>
          <w:numId w:val="1"/>
        </w:numPr>
        <w:spacing w:lineRule="auto" w:line="276" w:before="120" w:after="120"/>
        <w:ind w:left="425" w:hanging="0"/>
        <w:jc w:val="both"/>
        <w:rPr>
          <w:rFonts w:cs="Arial"/>
        </w:rPr>
      </w:pPr>
      <w:r>
        <w:rPr>
          <w:rFonts w:cs="Arial"/>
          <w:color w:val="00000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1"/>
        </w:numPr>
        <w:spacing w:lineRule="auto" w:line="276" w:before="120" w:after="120"/>
        <w:ind w:left="425" w:hanging="0"/>
        <w:jc w:val="both"/>
        <w:rPr>
          <w:rFonts w:cs="Arial"/>
        </w:rPr>
      </w:pPr>
      <w:r>
        <w:rPr>
          <w:rFonts w:cs="Arial"/>
          <w:color w:val="000000"/>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1"/>
        </w:numPr>
        <w:spacing w:lineRule="auto" w:line="276" w:before="120" w:after="120"/>
        <w:ind w:left="425" w:hanging="0"/>
        <w:jc w:val="both"/>
        <w:rPr>
          <w:rFonts w:cs="Arial"/>
        </w:rPr>
      </w:pPr>
      <w:r>
        <w:rPr>
          <w:rFonts w:cs="Arial"/>
          <w:color w:val="00000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1"/>
        </w:numPr>
        <w:spacing w:lineRule="auto" w:line="276" w:before="120" w:after="120"/>
        <w:ind w:left="425" w:hanging="0"/>
        <w:jc w:val="both"/>
        <w:rPr>
          <w:rFonts w:cs="Arial"/>
        </w:rPr>
      </w:pPr>
      <w:r>
        <w:rPr>
          <w:rFonts w:cs="Arial"/>
          <w:color w:val="00000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1"/>
        </w:numPr>
        <w:spacing w:lineRule="auto" w:line="276" w:before="120" w:after="120"/>
        <w:ind w:left="425" w:hanging="0"/>
        <w:jc w:val="both"/>
        <w:rPr/>
      </w:pPr>
      <w:r>
        <w:rPr>
          <w:rFonts w:cs="Arial"/>
          <w:color w:val="000000"/>
        </w:rPr>
        <w:t>As sanções por atos praticados no decorrer da contratação estão previstas nos anexos a este Aviso.</w:t>
      </w:r>
    </w:p>
    <w:p>
      <w:pPr>
        <w:pStyle w:val="Normal"/>
        <w:numPr>
          <w:ilvl w:val="0"/>
          <w:numId w:val="0"/>
        </w:numPr>
        <w:spacing w:lineRule="auto" w:line="276" w:before="120" w:after="120"/>
        <w:ind w:left="425" w:hanging="0"/>
        <w:jc w:val="both"/>
        <w:rPr>
          <w:rFonts w:cs="Arial"/>
          <w:color w:val="000000"/>
        </w:rPr>
      </w:pPr>
      <w:r>
        <w:rPr>
          <w:rFonts w:cs="Arial"/>
          <w:color w:val="000000"/>
        </w:rPr>
      </w:r>
    </w:p>
    <w:p>
      <w:pPr>
        <w:pStyle w:val="PADRO"/>
        <w:widowControl/>
        <w:numPr>
          <w:ilvl w:val="0"/>
          <w:numId w:val="1"/>
        </w:numPr>
        <w:spacing w:before="120" w:after="120"/>
        <w:rPr>
          <w:rFonts w:ascii="Arial" w:hAnsi="Arial" w:cs="Arial"/>
          <w:b/>
          <w:b/>
        </w:rPr>
      </w:pPr>
      <w:r>
        <w:rPr>
          <w:rFonts w:cs="Arial" w:ascii="Arial" w:hAnsi="Arial"/>
          <w:b/>
          <w:color w:val="000000"/>
        </w:rPr>
        <w:t>DAS DISPOSIÇÕES GERAIS</w:t>
      </w:r>
    </w:p>
    <w:p>
      <w:pPr>
        <w:pStyle w:val="Normal"/>
        <w:numPr>
          <w:ilvl w:val="1"/>
          <w:numId w:val="1"/>
        </w:numPr>
        <w:snapToGrid w:val="false"/>
        <w:spacing w:lineRule="auto" w:line="276" w:before="120" w:after="120"/>
        <w:ind w:left="425" w:hanging="0"/>
        <w:jc w:val="both"/>
        <w:rPr>
          <w:color w:val="000000"/>
        </w:rPr>
      </w:pPr>
      <w:r>
        <w:rPr>
          <w:color w:val="000000"/>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No caso de todos os fornecedores restarem desclassificados ou inabilitados (procedimento fracassado), a Administração poderá:</w:t>
      </w:r>
    </w:p>
    <w:p>
      <w:pPr>
        <w:pStyle w:val="Normal"/>
        <w:numPr>
          <w:ilvl w:val="2"/>
          <w:numId w:val="1"/>
        </w:numPr>
        <w:spacing w:lineRule="auto" w:line="276" w:before="120" w:after="120"/>
        <w:jc w:val="both"/>
        <w:rPr>
          <w:rFonts w:cs="Arial"/>
          <w:color w:val="000000"/>
          <w:szCs w:val="20"/>
        </w:rPr>
      </w:pPr>
      <w:r>
        <w:rPr>
          <w:rFonts w:cs="Arial"/>
          <w:color w:val="000000"/>
          <w:szCs w:val="20"/>
        </w:rPr>
        <w:t xml:space="preserve"> </w:t>
      </w:r>
      <w:r>
        <w:rPr>
          <w:rFonts w:cs="Arial"/>
          <w:color w:val="000000"/>
          <w:szCs w:val="20"/>
        </w:rPr>
        <w:t>Republicar o presente aviso com uma nova data;</w:t>
      </w:r>
    </w:p>
    <w:p>
      <w:pPr>
        <w:pStyle w:val="Normal"/>
        <w:numPr>
          <w:ilvl w:val="2"/>
          <w:numId w:val="1"/>
        </w:numPr>
        <w:spacing w:lineRule="auto" w:line="276" w:before="120" w:after="120"/>
        <w:jc w:val="both"/>
        <w:rPr>
          <w:rFonts w:cs="Arial"/>
          <w:color w:val="000000"/>
          <w:szCs w:val="20"/>
        </w:rPr>
      </w:pPr>
      <w:r>
        <w:rPr>
          <w:rFonts w:cs="Arial"/>
          <w:color w:val="000000"/>
          <w:szCs w:val="20"/>
        </w:rPr>
        <w:t xml:space="preserve"> </w:t>
      </w:r>
      <w:r>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1"/>
        </w:numPr>
        <w:spacing w:lineRule="auto" w:line="276" w:before="120" w:after="120"/>
        <w:jc w:val="both"/>
        <w:rPr>
          <w:rFonts w:cs="Arial"/>
          <w:color w:val="000000"/>
          <w:szCs w:val="20"/>
        </w:rPr>
      </w:pPr>
      <w:r>
        <w:rPr>
          <w:rFonts w:cs="Arial"/>
          <w:color w:val="000000"/>
          <w:szCs w:val="20"/>
        </w:rPr>
        <w:t>No caso do subitem anterior, a contratação será operacionalizada fora deste procedimento.</w:t>
      </w:r>
    </w:p>
    <w:p>
      <w:pPr>
        <w:pStyle w:val="Normal"/>
        <w:numPr>
          <w:ilvl w:val="2"/>
          <w:numId w:val="1"/>
        </w:numPr>
        <w:spacing w:lineRule="auto" w:line="276" w:before="120" w:after="120"/>
        <w:jc w:val="both"/>
        <w:rPr>
          <w:rFonts w:cs="Arial"/>
          <w:color w:val="000000"/>
          <w:szCs w:val="20"/>
        </w:rPr>
      </w:pPr>
      <w:r>
        <w:rPr>
          <w:rFonts w:cs="Arial"/>
          <w:color w:val="000000"/>
          <w:szCs w:val="20"/>
        </w:rPr>
        <w:t>Fixar prazo para que possa haver adequação das propostas ou da documentação de habilitação, conforme o caso.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As providências dos subitens 9.2.1 e 9.2.2 acima poderão ser utilizadas se não houver o comparecimento de quaisquer fornecedores interessados (procedimento deserto)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Em caso de divergência entre disposições deste Aviso de Contratação Direta e de seus anexos ou demais peças que compõem o processo, prevalecerá as deste Aviso.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Da sessão pública será divulgada Ata no sistema eletrônico.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Integram este Aviso de Contratação Direta, para todos os fins e efeitos, os seguintes anexos:</w:t>
      </w:r>
    </w:p>
    <w:p>
      <w:pPr>
        <w:pStyle w:val="Normal"/>
        <w:numPr>
          <w:ilvl w:val="2"/>
          <w:numId w:val="1"/>
        </w:numPr>
        <w:spacing w:lineRule="auto" w:line="276" w:before="120" w:after="120"/>
        <w:jc w:val="both"/>
        <w:rPr>
          <w:rFonts w:cs="Arial"/>
          <w:color w:val="000000"/>
          <w:szCs w:val="20"/>
        </w:rPr>
      </w:pPr>
      <w:r>
        <w:rPr>
          <w:rFonts w:cs="Arial"/>
          <w:color w:val="000000"/>
          <w:szCs w:val="20"/>
        </w:rPr>
        <w:t>ANEXO I – Documentação exigida para Habilitação</w:t>
      </w:r>
    </w:p>
    <w:p>
      <w:pPr>
        <w:pStyle w:val="Normal"/>
        <w:numPr>
          <w:ilvl w:val="2"/>
          <w:numId w:val="1"/>
        </w:numPr>
        <w:spacing w:lineRule="auto" w:line="276" w:before="120" w:after="120"/>
        <w:jc w:val="both"/>
        <w:rPr>
          <w:color w:val="000000"/>
        </w:rPr>
      </w:pPr>
      <w:r>
        <w:rPr>
          <w:rFonts w:cs="Arial"/>
          <w:color w:val="000000"/>
          <w:szCs w:val="20"/>
        </w:rPr>
        <w:t>ANEXO II –  Termo de Referência</w:t>
      </w:r>
    </w:p>
    <w:p>
      <w:pPr>
        <w:pStyle w:val="Normal"/>
        <w:spacing w:lineRule="auto" w:line="276" w:before="120" w:after="120"/>
        <w:ind w:left="1440" w:hanging="0"/>
        <w:jc w:val="both"/>
        <w:rPr>
          <w:rFonts w:cs="Arial"/>
          <w:szCs w:val="20"/>
        </w:rPr>
      </w:pPr>
      <w:r>
        <w:rPr>
          <w:rFonts w:cs="Arial"/>
          <w:szCs w:val="20"/>
        </w:rPr>
      </w:r>
    </w:p>
    <w:p>
      <w:pPr>
        <w:pStyle w:val="Normal"/>
        <w:spacing w:lineRule="auto" w:line="276" w:before="120" w:after="120"/>
        <w:ind w:left="1224" w:hanging="0"/>
        <w:jc w:val="both"/>
        <w:rPr>
          <w:rFonts w:cs="Arial"/>
          <w:color w:val="000000"/>
          <w:szCs w:val="20"/>
        </w:rPr>
      </w:pPr>
      <w:r>
        <w:rPr>
          <w:rFonts w:cs="Arial"/>
          <w:color w:val="000000"/>
          <w:szCs w:val="20"/>
        </w:rPr>
      </w:r>
    </w:p>
    <w:p>
      <w:pPr>
        <w:pStyle w:val="Normal"/>
        <w:spacing w:lineRule="auto" w:line="276" w:before="0" w:after="120"/>
        <w:ind w:left="360" w:right="-15" w:hanging="0"/>
        <w:jc w:val="center"/>
        <w:rPr>
          <w:rFonts w:cs="Arial"/>
          <w:color w:val="000000"/>
          <w:szCs w:val="20"/>
        </w:rPr>
      </w:pPr>
      <w:r>
        <w:rPr>
          <w:rFonts w:cs="Arial"/>
          <w:color w:val="000000"/>
          <w:szCs w:val="20"/>
        </w:rPr>
        <w:t>Manaus-AM, 05 de dezembro de 2023.</w:t>
      </w:r>
    </w:p>
    <w:p>
      <w:pPr>
        <w:pStyle w:val="Normal"/>
        <w:spacing w:lineRule="auto" w:line="276" w:before="0" w:after="120"/>
        <w:ind w:left="360" w:right="-15" w:hanging="0"/>
        <w:jc w:val="both"/>
        <w:rPr>
          <w:rFonts w:cs="Arial"/>
          <w:color w:val="000000"/>
          <w:szCs w:val="20"/>
        </w:rPr>
      </w:pPr>
      <w:r>
        <w:rPr>
          <w:rFonts w:cs="Arial"/>
          <w:color w:val="000000"/>
          <w:szCs w:val="20"/>
        </w:rPr>
      </w:r>
    </w:p>
    <w:p>
      <w:pPr>
        <w:pStyle w:val="Normal"/>
        <w:spacing w:lineRule="auto" w:line="276" w:before="0" w:after="120"/>
        <w:ind w:left="360" w:right="-15" w:hanging="0"/>
        <w:jc w:val="both"/>
        <w:rPr>
          <w:rFonts w:cs="Arial"/>
          <w:color w:val="000000"/>
          <w:szCs w:val="20"/>
        </w:rPr>
      </w:pPr>
      <w:r>
        <w:rPr>
          <w:rFonts w:cs="Arial"/>
          <w:color w:val="000000"/>
          <w:szCs w:val="20"/>
        </w:rPr>
      </w:r>
    </w:p>
    <w:p>
      <w:pPr>
        <w:pStyle w:val="Normal"/>
        <w:spacing w:lineRule="auto" w:line="276" w:before="0" w:after="120"/>
        <w:ind w:left="360" w:right="-15" w:hanging="0"/>
        <w:jc w:val="both"/>
        <w:rPr>
          <w:rFonts w:cs="Arial"/>
          <w:color w:val="000000"/>
          <w:szCs w:val="20"/>
        </w:rPr>
      </w:pPr>
      <w:r>
        <w:rPr>
          <w:rFonts w:cs="Arial"/>
          <w:color w:val="000000"/>
          <w:szCs w:val="20"/>
        </w:rPr>
      </w:r>
    </w:p>
    <w:p>
      <w:pPr>
        <w:pStyle w:val="Normal"/>
        <w:spacing w:lineRule="auto" w:line="276" w:before="0" w:after="120"/>
        <w:ind w:left="360" w:right="-15" w:hanging="0"/>
        <w:jc w:val="both"/>
        <w:rPr>
          <w:rFonts w:cs="Arial"/>
          <w:color w:val="000000"/>
          <w:szCs w:val="20"/>
        </w:rPr>
      </w:pPr>
      <w:r>
        <w:rPr>
          <w:rFonts w:cs="Arial"/>
          <w:color w:val="000000"/>
          <w:szCs w:val="20"/>
        </w:rPr>
      </w:r>
    </w:p>
    <w:p>
      <w:pPr>
        <w:pStyle w:val="Normal"/>
        <w:spacing w:lineRule="auto" w:line="276"/>
        <w:jc w:val="both"/>
        <w:rPr>
          <w:rFonts w:cs="Arial"/>
          <w:b/>
          <w:b/>
          <w:bCs/>
          <w:iCs/>
          <w:color w:val="000000"/>
          <w:szCs w:val="20"/>
        </w:rPr>
      </w:pPr>
      <w:r>
        <w:rPr>
          <w:rFonts w:cs="Arial"/>
          <w:b/>
          <w:bCs/>
          <w:iCs/>
          <w:color w:val="000000"/>
          <w:szCs w:val="20"/>
        </w:rPr>
        <w:tab/>
        <w:tab/>
      </w:r>
    </w:p>
    <w:p>
      <w:pPr>
        <w:pStyle w:val="Normal"/>
        <w:ind w:left="357" w:right="-7" w:firstLine="567"/>
        <w:jc w:val="center"/>
        <w:rPr>
          <w:rFonts w:ascii="Times New Roman" w:hAnsi="Times New Roman" w:cs="Times New Roman"/>
          <w:b/>
          <w:b/>
          <w:sz w:val="22"/>
          <w:szCs w:val="22"/>
          <w:lang w:eastAsia="en-US"/>
        </w:rPr>
      </w:pPr>
      <w:r>
        <w:rPr>
          <w:rFonts w:cs="Times New Roman" w:ascii="Times New Roman" w:hAnsi="Times New Roman"/>
          <w:b/>
          <w:color w:val="000000"/>
          <w:sz w:val="22"/>
          <w:szCs w:val="22"/>
          <w:lang w:eastAsia="en-US"/>
        </w:rPr>
        <w:t>ADILSON INÁCIO DE OLIVEIRA – Ten Cel</w:t>
      </w:r>
    </w:p>
    <w:p>
      <w:pPr>
        <w:pStyle w:val="Normal"/>
        <w:spacing w:before="43" w:after="0"/>
        <w:ind w:left="357" w:right="-7" w:firstLine="567"/>
        <w:jc w:val="center"/>
        <w:rPr/>
      </w:pPr>
      <w:r>
        <w:rPr>
          <w:rFonts w:cs="Times New Roman" w:ascii="Times New Roman" w:hAnsi="Times New Roman"/>
          <w:color w:val="000000"/>
          <w:sz w:val="22"/>
          <w:szCs w:val="22"/>
          <w:lang w:eastAsia="en-US"/>
        </w:rPr>
        <w:t>Ordenador de Despesas</w:t>
      </w:r>
      <w:r>
        <w:rPr>
          <w:rFonts w:cs="Times New Roman" w:ascii="Times New Roman" w:hAnsi="Times New Roman"/>
          <w:color w:val="000000"/>
          <w:spacing w:val="27"/>
          <w:sz w:val="22"/>
          <w:szCs w:val="22"/>
          <w:lang w:eastAsia="en-US"/>
        </w:rPr>
        <w:t xml:space="preserve"> do</w:t>
      </w:r>
      <w:r>
        <w:rPr>
          <w:rFonts w:cs="Times New Roman" w:ascii="Times New Roman" w:hAnsi="Times New Roman"/>
          <w:color w:val="000000"/>
          <w:sz w:val="22"/>
          <w:szCs w:val="22"/>
          <w:lang w:eastAsia="en-US"/>
        </w:rPr>
        <w:t xml:space="preserve"> 4° BAvEx</w:t>
      </w:r>
    </w:p>
    <w:sectPr>
      <w:footerReference w:type="default" r:id="rId6"/>
      <w:type w:val="nextPage"/>
      <w:pgSz w:w="11906" w:h="16838"/>
      <w:pgMar w:left="720" w:right="720" w:gutter="0" w:header="0" w:top="720" w:footer="777" w:bottom="1577"/>
      <w:pgNumType w:fmt="decimal"/>
      <w:formProt w:val="false"/>
      <w:textDirection w:val="lrTb"/>
      <w:docGrid w:type="default" w:linePitch="240" w:charSpace="983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Arial">
    <w:charset w:val="01"/>
    <w:family w:val="roman"/>
    <w:pitch w:val="variable"/>
  </w:font>
  <w:font w:name="Calibri Light">
    <w:charset w:val="01"/>
    <w:family w:val="roman"/>
    <w:pitch w:val="variable"/>
  </w:font>
  <w:font w:name="Ecofont_Spranq_eco_Sans">
    <w:charset w:val="01"/>
    <w:family w:val="roman"/>
    <w:pitch w:val="variable"/>
  </w:font>
  <w:font w:name="Segoe UI">
    <w:charset w:val="01"/>
    <w:family w:val="roman"/>
    <w:pitch w:val="variable"/>
  </w:font>
  <w:font w:name="Liberation Mono">
    <w:altName w:val="Courier New"/>
    <w:charset w:val="01"/>
    <w:family w:val="roman"/>
    <w:pitch w:val="variable"/>
  </w:font>
  <w:font w:name="Liberation Sans">
    <w:altName w:val="Arial"/>
    <w:charset w:val="01"/>
    <w:family w:val="roman"/>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jc w:val="right"/>
      <w:rPr/>
    </w:pPr>
    <w:r>
      <w:rPr/>
      <w:t>Dispensa de Licitação – Dispensa Eletrônica nº 74/2023 – 4° BAvEx</w:t>
    </w:r>
  </w:p>
  <w:p>
    <w:pPr>
      <w:pStyle w:val="Rodap"/>
      <w:jc w:val="right"/>
      <w:rPr/>
    </w:pPr>
    <w:r>
      <w:rPr/>
      <w:t xml:space="preserve">Página </w:t>
    </w:r>
    <w:r>
      <w:rPr/>
      <w:fldChar w:fldCharType="begin"/>
    </w:r>
    <w:r>
      <w:rPr/>
      <w:instrText xml:space="preserve"> PAGE </w:instrText>
    </w:r>
    <w:r>
      <w:rPr/>
      <w:fldChar w:fldCharType="separate"/>
    </w:r>
    <w:r>
      <w:rPr/>
      <w:t>9</w:t>
    </w:r>
    <w:r>
      <w:rPr/>
      <w:fldChar w:fldCharType="end"/>
    </w:r>
    <w:r>
      <w:rPr/>
      <w:t xml:space="preserve"> de </w:t>
    </w:r>
    <w:r>
      <w:rPr/>
      <w:fldChar w:fldCharType="begin"/>
    </w:r>
    <w:r>
      <w:rPr/>
      <w:instrText xml:space="preserve"> NUMPAGES </w:instrText>
    </w:r>
    <w:r>
      <w:rPr/>
      <w:fldChar w:fldCharType="separate"/>
    </w:r>
    <w:r>
      <w:rPr/>
      <w:t>9</w:t>
    </w:r>
    <w:r>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lvl>
    <w:lvl w:ilvl="1">
      <w:start w:val="1"/>
      <w:numFmt w:val="decimal"/>
      <w:lvlText w:val="%1.%2."/>
      <w:lvlJc w:val="left"/>
      <w:pPr>
        <w:tabs>
          <w:tab w:val="num" w:pos="1080"/>
        </w:tabs>
        <w:ind w:left="1080" w:hanging="360"/>
      </w:pPr>
      <w:rPr/>
    </w:lvl>
    <w:lvl w:ilvl="2">
      <w:start w:val="1"/>
      <w:numFmt w:val="decimal"/>
      <w:lvlText w:val="%1.%2.%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decimal"/>
      <w:lvlText w:val="%1.%2.%3."/>
      <w:lvlJc w:val="left"/>
      <w:pPr>
        <w:tabs>
          <w:tab w:val="num" w:pos="0"/>
        </w:tabs>
        <w:ind w:left="1224" w:hanging="504"/>
      </w:pPr>
      <w:rPr>
        <w:i w:val="false"/>
        <w:b w:val="false"/>
        <w:iCs/>
        <w:rFonts w:cs="Arial"/>
        <w:color w:val="00000A"/>
      </w:rPr>
    </w:lvl>
    <w:lvl w:ilvl="3">
      <w:start w:val="1"/>
      <w:numFmt w:val="lowerLetter"/>
      <w:lvlText w:val="%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lowerLetter"/>
      <w:lvlText w:val="%3)"/>
      <w:lvlJc w:val="left"/>
      <w:pPr>
        <w:tabs>
          <w:tab w:val="num" w:pos="0"/>
        </w:tabs>
        <w:ind w:left="1224" w:hanging="504"/>
      </w:pPr>
      <w:rPr>
        <w:i w:val="false"/>
        <w:b w:val="false"/>
        <w:iCs/>
        <w:color w:val="00000A"/>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40"/>
  <w:defaultTabStop w:val="708"/>
  <w:autoHyphenation w:val="true"/>
  <w:compat>
    <w:compatSetting w:name="compatibilityMode" w:uri="http://schemas.microsoft.com/office/word" w:val="12"/>
  </w:compat>
  <w:hyphenationZone w:val="425"/>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DejaVu Sans"/>
        <w:szCs w:val="22"/>
        <w:lang w:val="pt-BR"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before="0" w:after="0"/>
      <w:jc w:val="left"/>
    </w:pPr>
    <w:rPr>
      <w:rFonts w:ascii="Arial" w:hAnsi="Arial" w:eastAsia="Times New Roman" w:cs="Tahoma"/>
      <w:color w:val="00000A"/>
      <w:kern w:val="0"/>
      <w:sz w:val="20"/>
      <w:szCs w:val="24"/>
      <w:lang w:val="pt-BR" w:eastAsia="pt-BR" w:bidi="ar-SA"/>
    </w:rPr>
  </w:style>
  <w:style w:type="paragraph" w:styleId="Ttulo1">
    <w:name w:val="Heading 1"/>
    <w:basedOn w:val="Normal"/>
    <w:next w:val="Normal"/>
    <w:qFormat/>
    <w:pPr>
      <w:keepNext w:val="true"/>
      <w:keepLines/>
      <w:spacing w:before="240" w:after="0"/>
      <w:outlineLvl w:val="0"/>
    </w:pPr>
    <w:rPr>
      <w:rFonts w:ascii="Calibri Light" w:hAnsi="Calibri Light" w:eastAsia="Calibri" w:cs="DejaVu Sans"/>
      <w:color w:val="2F5496"/>
      <w:sz w:val="32"/>
      <w:szCs w:val="32"/>
    </w:rPr>
  </w:style>
  <w:style w:type="character" w:styleId="DefaultParagraphFont" w:default="1">
    <w:name w:val="Default Paragraph Font"/>
    <w:uiPriority w:val="1"/>
    <w:semiHidden/>
    <w:unhideWhenUsed/>
    <w:qFormat/>
    <w:rPr/>
  </w:style>
  <w:style w:type="character" w:styleId="CitaoChar" w:customStyle="1">
    <w:name w:val="Citação Char"/>
    <w:basedOn w:val="DefaultParagraphFont"/>
    <w:qFormat/>
    <w:rPr>
      <w:rFonts w:ascii="Arial" w:hAnsi="Arial" w:eastAsia="Calibri" w:cs="Tahoma"/>
      <w:i/>
      <w:iCs/>
      <w:color w:val="000000"/>
      <w:sz w:val="20"/>
      <w:szCs w:val="24"/>
    </w:rPr>
  </w:style>
  <w:style w:type="character" w:styleId="Nivel01Char" w:customStyle="1">
    <w:name w:val="Nivel 01 Char"/>
    <w:basedOn w:val="Ttulo1Char"/>
    <w:qFormat/>
    <w:rPr>
      <w:rFonts w:ascii="Arial" w:hAnsi="Arial" w:eastAsia="Calibri" w:cs="Times New Roman"/>
      <w:b/>
      <w:bCs/>
      <w:color w:val="000000"/>
      <w:sz w:val="20"/>
      <w:szCs w:val="20"/>
      <w:lang w:eastAsia="pt-BR"/>
    </w:rPr>
  </w:style>
  <w:style w:type="character" w:styleId="Ttulo1Char" w:customStyle="1">
    <w:name w:val="Título 1 Char"/>
    <w:basedOn w:val="DefaultParagraphFont"/>
    <w:qFormat/>
    <w:rPr>
      <w:rFonts w:ascii="Calibri Light" w:hAnsi="Calibri Light" w:eastAsia="Calibri" w:cs="DejaVu Sans"/>
      <w:color w:val="2F5496"/>
      <w:sz w:val="32"/>
      <w:szCs w:val="32"/>
      <w:lang w:eastAsia="pt-BR"/>
    </w:rPr>
  </w:style>
  <w:style w:type="character" w:styleId="Citao2Char" w:customStyle="1">
    <w:name w:val="citação 2 Char"/>
    <w:basedOn w:val="CitaoChar"/>
    <w:qFormat/>
    <w:rPr>
      <w:rFonts w:ascii="Arial" w:hAnsi="Arial" w:eastAsia="Calibri" w:cs="Tahoma"/>
      <w:i/>
      <w:iCs/>
      <w:color w:val="000000"/>
      <w:sz w:val="20"/>
      <w:szCs w:val="20"/>
    </w:rPr>
  </w:style>
  <w:style w:type="character" w:styleId="QuoteChar" w:customStyle="1">
    <w:name w:val="Quote Char"/>
    <w:basedOn w:val="DefaultParagraphFont"/>
    <w:qFormat/>
    <w:rPr>
      <w:rFonts w:ascii="Ecofont_Spranq_eco_Sans" w:hAnsi="Ecofont_Spranq_eco_Sans" w:eastAsia="Calibri" w:cs="Tahoma"/>
      <w:i/>
      <w:iCs/>
      <w:color w:val="000000"/>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Arial" w:hAnsi="Arial" w:eastAsia="Times New Roman" w:cs="Tahoma"/>
      <w:sz w:val="20"/>
      <w:szCs w:val="20"/>
      <w:lang w:eastAsia="pt-BR"/>
    </w:rPr>
  </w:style>
  <w:style w:type="character" w:styleId="AssuntodocomentrioChar" w:customStyle="1">
    <w:name w:val="Assunto do comentário Char"/>
    <w:basedOn w:val="TextodecomentrioChar"/>
    <w:qFormat/>
    <w:rPr>
      <w:rFonts w:ascii="Arial" w:hAnsi="Arial" w:eastAsia="Times New Roman" w:cs="Tahoma"/>
      <w:b/>
      <w:bCs/>
      <w:sz w:val="20"/>
      <w:szCs w:val="20"/>
      <w:lang w:eastAsia="pt-BR"/>
    </w:rPr>
  </w:style>
  <w:style w:type="character" w:styleId="LinkdaInternet" w:customStyle="1">
    <w:name w:val="Link da Internet"/>
    <w:rPr>
      <w:color w:val="000080"/>
      <w:u w:val="single"/>
    </w:rPr>
  </w:style>
  <w:style w:type="character" w:styleId="Nivel4Char" w:customStyle="1">
    <w:name w:val="Nivel 4 Char"/>
    <w:basedOn w:val="DefaultParagraphFont"/>
    <w:qFormat/>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qFormat/>
    <w:rPr>
      <w:rFonts w:ascii="Segoe UI" w:hAnsi="Segoe UI" w:eastAsia="Times New Roman" w:cs="Segoe UI"/>
      <w:sz w:val="18"/>
      <w:szCs w:val="18"/>
      <w:lang w:eastAsia="pt-BR"/>
    </w:rPr>
  </w:style>
  <w:style w:type="character" w:styleId="CabealhoChar" w:customStyle="1">
    <w:name w:val="Cabeçalho Char"/>
    <w:basedOn w:val="DefaultParagraphFont"/>
    <w:qFormat/>
    <w:rPr>
      <w:rFonts w:ascii="Arial" w:hAnsi="Arial" w:eastAsia="Times New Roman" w:cs="Tahoma"/>
      <w:sz w:val="20"/>
      <w:szCs w:val="24"/>
      <w:lang w:eastAsia="pt-BR"/>
    </w:rPr>
  </w:style>
  <w:style w:type="character" w:styleId="RodapChar" w:customStyle="1">
    <w:name w:val="Rodapé Char"/>
    <w:basedOn w:val="DefaultParagraphFont"/>
    <w:qFormat/>
    <w:rPr>
      <w:rFonts w:ascii="Arial" w:hAnsi="Arial" w:eastAsia="Times New Roman" w:cs="Tahoma"/>
      <w:sz w:val="20"/>
      <w:szCs w:val="24"/>
      <w:lang w:eastAsia="pt-BR"/>
    </w:rPr>
  </w:style>
  <w:style w:type="character" w:styleId="Smbolosdenumerao" w:customStyle="1">
    <w:name w:val="Símbolos de numeração"/>
    <w:qFormat/>
    <w:rPr/>
  </w:style>
  <w:style w:type="character" w:styleId="Textooriginal" w:customStyle="1">
    <w:name w:val="Texto original"/>
    <w:qFormat/>
    <w:rPr>
      <w:rFonts w:ascii="Liberation Mono" w:hAnsi="Liberation Mono" w:eastAsia="Liberation Mono" w:cs="Liberation Mono"/>
    </w:rPr>
  </w:style>
  <w:style w:type="character" w:styleId="Nfaseforte" w:customStyle="1">
    <w:name w:val="Ênfase forte"/>
    <w:qFormat/>
    <w:rPr>
      <w:b/>
      <w:bCs/>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ohit Marathi"/>
    </w:rPr>
  </w:style>
  <w:style w:type="paragraph" w:styleId="Legenda">
    <w:name w:val="Caption"/>
    <w:basedOn w:val="Normal"/>
    <w:qFormat/>
    <w:pPr>
      <w:suppressLineNumbers/>
      <w:spacing w:before="120" w:after="120"/>
    </w:pPr>
    <w:rPr>
      <w:rFonts w:cs="Lohit Devanagari"/>
      <w:i/>
      <w:iCs/>
      <w:sz w:val="24"/>
      <w:szCs w:val="24"/>
    </w:rPr>
  </w:style>
  <w:style w:type="paragraph" w:styleId="Ndice" w:customStyle="1">
    <w:name w:val="Índice"/>
    <w:basedOn w:val="Normal"/>
    <w:qFormat/>
    <w:pPr>
      <w:suppressLineNumbers/>
    </w:pPr>
    <w:rPr>
      <w:rFonts w:cs="Lohit Marathi"/>
    </w:rPr>
  </w:style>
  <w:style w:type="paragraph" w:styleId="Ttulododocumento">
    <w:name w:val="Title"/>
    <w:basedOn w:val="Normal"/>
    <w:next w:val="Corpodotexto"/>
    <w:qFormat/>
    <w:pPr>
      <w:keepNext w:val="true"/>
      <w:spacing w:before="240" w:after="120"/>
    </w:pPr>
    <w:rPr>
      <w:rFonts w:ascii="Liberation Sans" w:hAnsi="Liberation Sans" w:eastAsia="Noto Sans CJK SC" w:cs="Lohit Marathi"/>
      <w:sz w:val="28"/>
      <w:szCs w:val="28"/>
    </w:rPr>
  </w:style>
  <w:style w:type="paragraph" w:styleId="Caption">
    <w:name w:val="caption"/>
    <w:basedOn w:val="Normal"/>
    <w:qFormat/>
    <w:pPr>
      <w:suppressLineNumbers/>
      <w:spacing w:before="120" w:after="120"/>
    </w:pPr>
    <w:rPr>
      <w:rFonts w:cs="Lohit Marathi"/>
      <w:i/>
      <w:iCs/>
      <w:sz w:val="24"/>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Ttulo1"/>
    <w:next w:val="Normal"/>
    <w:qFormat/>
    <w:pPr>
      <w:spacing w:lineRule="auto" w:line="276" w:before="480" w:after="120"/>
      <w:ind w:right="-15" w:hanging="0"/>
      <w:jc w:val="both"/>
    </w:pPr>
    <w:rPr>
      <w:rFonts w:ascii="Arial" w:hAnsi="Arial" w:cs="Times New Roman"/>
      <w:b/>
      <w:bCs/>
      <w:color w:val="000000"/>
      <w:sz w:val="20"/>
      <w:szCs w:val="20"/>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00000A"/>
      <w:kern w:val="0"/>
      <w:sz w:val="20"/>
      <w:szCs w:val="24"/>
      <w:lang w:val="pt-BR" w:eastAsia="zh-CN" w:bidi="hi-IN"/>
    </w:rPr>
  </w:style>
  <w:style w:type="paragraph" w:styleId="ListParagraph">
    <w:name w:val="List Paragraph"/>
    <w:basedOn w:val="Normal"/>
    <w:qFormat/>
    <w:pPr>
      <w:spacing w:before="0" w:after="0"/>
      <w:ind w:left="720" w:hanging="0"/>
      <w:contextualSpacing/>
    </w:pPr>
    <w:rPr/>
  </w:style>
  <w:style w:type="paragraph" w:styleId="Citao2" w:customStyle="1">
    <w:name w:val="citação 2"/>
    <w:basedOn w:val="Quote"/>
    <w:qFormat/>
    <w:pPr/>
    <w:rPr>
      <w:szCs w:val="20"/>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qFormat/>
    <w:pPr/>
    <w:rPr>
      <w:szCs w:val="20"/>
    </w:rPr>
  </w:style>
  <w:style w:type="paragraph" w:styleId="Annotationsubject">
    <w:name w:val="annotation subject"/>
    <w:basedOn w:val="Annotationtext"/>
    <w:qFormat/>
    <w:pPr/>
    <w:rPr>
      <w:b/>
      <w:bCs/>
    </w:rPr>
  </w:style>
  <w:style w:type="paragraph" w:styleId="Nivel1" w:customStyle="1">
    <w:name w:val="Nivel1"/>
    <w:basedOn w:val="Ttulo1"/>
    <w:qFormat/>
    <w:pPr>
      <w:spacing w:lineRule="auto" w:line="276" w:before="480" w:after="0"/>
      <w:ind w:left="644" w:hanging="360"/>
      <w:jc w:val="both"/>
    </w:pPr>
    <w:rPr>
      <w:rFonts w:ascii="Arial" w:hAnsi="Arial" w:cs="Times New Roman"/>
      <w:b/>
      <w:color w:val="000000"/>
      <w:sz w:val="20"/>
      <w:szCs w:val="20"/>
    </w:rPr>
  </w:style>
  <w:style w:type="paragraph" w:styleId="Nivel2" w:customStyle="1">
    <w:name w:val="Nivel 2"/>
    <w:qFormat/>
    <w:pPr>
      <w:widowControl/>
      <w:suppressAutoHyphens w:val="true"/>
      <w:bidi w:val="0"/>
      <w:spacing w:lineRule="auto" w:line="276" w:before="120" w:after="120"/>
      <w:jc w:val="both"/>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pPr/>
    <w:rPr>
      <w:rFonts w:cs="Arial"/>
      <w:b/>
    </w:rPr>
  </w:style>
  <w:style w:type="paragraph" w:styleId="Nivel3" w:customStyle="1">
    <w:name w:val="Nivel 3"/>
    <w:basedOn w:val="Nivel2"/>
    <w:qFormat/>
    <w:pPr/>
    <w:rPr>
      <w:rFonts w:cs="Arial"/>
      <w:color w:val="000000"/>
    </w:rPr>
  </w:style>
  <w:style w:type="paragraph" w:styleId="Nivel4" w:customStyle="1">
    <w:name w:val="Nivel 4"/>
    <w:basedOn w:val="Nivel3"/>
    <w:qFormat/>
    <w:pPr/>
    <w:rPr>
      <w:color w:val="00000A"/>
    </w:rPr>
  </w:style>
  <w:style w:type="paragraph" w:styleId="Nivel5" w:customStyle="1">
    <w:name w:val="Nivel 5"/>
    <w:basedOn w:val="Nivel4"/>
    <w:qFormat/>
    <w:pPr>
      <w:tabs>
        <w:tab w:val="clear" w:pos="708"/>
        <w:tab w:val="left" w:pos="360" w:leader="none"/>
      </w:tabs>
    </w:pPr>
    <w:rPr/>
  </w:style>
  <w:style w:type="paragraph" w:styleId="BalloonText">
    <w:name w:val="Balloon Text"/>
    <w:basedOn w:val="Normal"/>
    <w:qFormat/>
    <w:pPr/>
    <w:rPr>
      <w:rFonts w:ascii="Segoe UI" w:hAnsi="Segoe UI" w:cs="Segoe UI"/>
      <w:sz w:val="18"/>
      <w:szCs w:val="18"/>
    </w:rPr>
  </w:style>
  <w:style w:type="paragraph" w:styleId="CabealhoeRodap" w:customStyle="1">
    <w:name w:val="Cabeçalho e Rodapé"/>
    <w:basedOn w:val="Normal"/>
    <w:qFormat/>
    <w:pPr/>
    <w:rPr/>
  </w:style>
  <w:style w:type="paragraph" w:styleId="Cabealho">
    <w:name w:val="Header"/>
    <w:basedOn w:val="Normal"/>
    <w:pPr>
      <w:tabs>
        <w:tab w:val="clear" w:pos="708"/>
        <w:tab w:val="center" w:pos="4252" w:leader="none"/>
        <w:tab w:val="right" w:pos="8504" w:leader="none"/>
      </w:tabs>
    </w:pPr>
    <w:rPr/>
  </w:style>
  <w:style w:type="paragraph" w:styleId="Rodap">
    <w:name w:val="Footer"/>
    <w:basedOn w:val="Normal"/>
    <w:pPr>
      <w:tabs>
        <w:tab w:val="clear" w:pos="708"/>
        <w:tab w:val="center" w:pos="4252" w:leader="none"/>
        <w:tab w:val="right" w:pos="8504" w:leader="none"/>
      </w:tabs>
    </w:pPr>
    <w:rPr/>
  </w:style>
  <w:style w:type="paragraph" w:styleId="Standard" w:customStyle="1">
    <w:name w:val="Standard"/>
    <w:qFormat/>
    <w:pPr>
      <w:widowControl/>
      <w:suppressAutoHyphens w:val="true"/>
      <w:bidi w:val="0"/>
      <w:spacing w:before="0" w:after="0"/>
      <w:jc w:val="left"/>
      <w:textAlignment w:val="baseline"/>
    </w:pPr>
    <w:rPr>
      <w:rFonts w:ascii="Calibri" w:hAnsi="Calibri" w:eastAsia="Calibri" w:cs="DejaVu Sans"/>
      <w:color w:val="00000A"/>
      <w:kern w:val="0"/>
      <w:sz w:val="20"/>
      <w:szCs w:val="22"/>
      <w:lang w:val="pt-BR" w:eastAsia="en-US" w:bidi="ar-SA"/>
    </w:rPr>
  </w:style>
  <w:style w:type="paragraph" w:styleId="Contedodatabela" w:customStyle="1">
    <w:name w:val="Conteúdo da tabela"/>
    <w:basedOn w:val="Normal"/>
    <w:qFormat/>
    <w:pPr>
      <w:suppressLineNumbers/>
    </w:pPr>
    <w:rPr/>
  </w:style>
  <w:style w:type="paragraph" w:styleId="Ttulodetabela" w:customStyle="1">
    <w:name w:val="Título de tabela"/>
    <w:basedOn w:val="Contedodatabela"/>
    <w:qFormat/>
    <w:pPr>
      <w:jc w:val="center"/>
    </w:pPr>
    <w:rPr>
      <w:b/>
      <w:bCs/>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planalto.gov.br/ccivil_03/LEIS/L6404consol.htm"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1610</TotalTime>
  <Application>LibreOffice/7.3.7.2$Linux_X86_64 LibreOffice_project/30$Build-2</Application>
  <AppVersion>15.0000</AppVersion>
  <Pages>9</Pages>
  <Words>4522</Words>
  <Characters>25954</Characters>
  <CharactersWithSpaces>30151</CharactersWithSpaces>
  <Paragraphs>205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2021-08-05T16:35:00Z</dcterms:created>
  <dc:creator>Hugo Sales</dc:creator>
  <dc:description/>
  <dc:language>pt-BR</dc:language>
  <cp:lastModifiedBy/>
  <cp:lastPrinted>2023-12-05T09:51:26Z</cp:lastPrinted>
  <dcterms:modified xsi:type="dcterms:W3CDTF">2023-12-05T10:01:00Z</dcterms:modified>
  <cp:revision>204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